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927" w:rsidRPr="005A56F5" w:rsidRDefault="00950927" w:rsidP="007B2DFB">
      <w:pPr>
        <w:autoSpaceDE w:val="0"/>
        <w:autoSpaceDN w:val="0"/>
        <w:adjustRightInd w:val="0"/>
        <w:spacing w:line="276" w:lineRule="auto"/>
        <w:jc w:val="center"/>
        <w:rPr>
          <w:b/>
          <w:lang w:val="ro-RO"/>
        </w:rPr>
      </w:pPr>
      <w:bookmarkStart w:id="0" w:name="_GoBack"/>
      <w:bookmarkEnd w:id="0"/>
      <w:r w:rsidRPr="005A56F5">
        <w:rPr>
          <w:b/>
          <w:lang w:val="ro-RO"/>
        </w:rPr>
        <w:t>NOTĂ DE FUNDAMENTARE</w:t>
      </w:r>
    </w:p>
    <w:p w:rsidR="00474953" w:rsidRPr="005A56F5" w:rsidRDefault="00474953" w:rsidP="007B2DFB">
      <w:pPr>
        <w:spacing w:line="276" w:lineRule="auto"/>
        <w:jc w:val="both"/>
        <w:rPr>
          <w:b/>
          <w:lang w:val="ro-RO"/>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0"/>
        <w:gridCol w:w="1771"/>
        <w:gridCol w:w="850"/>
        <w:gridCol w:w="567"/>
        <w:gridCol w:w="425"/>
        <w:gridCol w:w="426"/>
        <w:gridCol w:w="425"/>
        <w:gridCol w:w="992"/>
      </w:tblGrid>
      <w:tr w:rsidR="00241CBB"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241CBB" w:rsidP="007B2DFB">
            <w:pPr>
              <w:spacing w:line="276" w:lineRule="auto"/>
              <w:ind w:left="34"/>
              <w:jc w:val="center"/>
              <w:rPr>
                <w:b/>
                <w:lang w:val="ro-RO"/>
              </w:rPr>
            </w:pPr>
            <w:r w:rsidRPr="005A56F5">
              <w:rPr>
                <w:b/>
                <w:lang w:val="ro-RO"/>
              </w:rPr>
              <w:t>Secţiunea 1</w:t>
            </w:r>
          </w:p>
          <w:p w:rsidR="00C67807" w:rsidRPr="005A56F5" w:rsidRDefault="00C67807" w:rsidP="007B2DFB">
            <w:pPr>
              <w:spacing w:line="276" w:lineRule="auto"/>
              <w:jc w:val="center"/>
              <w:rPr>
                <w:b/>
                <w:lang w:val="ro-RO"/>
              </w:rPr>
            </w:pPr>
            <w:r w:rsidRPr="005A56F5">
              <w:rPr>
                <w:b/>
                <w:lang w:val="ro-RO"/>
              </w:rPr>
              <w:t xml:space="preserve">Titlul </w:t>
            </w:r>
            <w:r w:rsidR="00951DF8" w:rsidRPr="005A56F5">
              <w:rPr>
                <w:b/>
                <w:lang w:val="ro-RO"/>
              </w:rPr>
              <w:t xml:space="preserve">proiectului de </w:t>
            </w:r>
            <w:r w:rsidRPr="005A56F5">
              <w:rPr>
                <w:b/>
                <w:lang w:val="ro-RO"/>
              </w:rPr>
              <w:t>act normativ</w:t>
            </w:r>
          </w:p>
          <w:p w:rsidR="000D0A4B" w:rsidRPr="00206989" w:rsidRDefault="000D0A4B" w:rsidP="000D0A4B">
            <w:pPr>
              <w:tabs>
                <w:tab w:val="left" w:pos="990"/>
                <w:tab w:val="left" w:pos="3960"/>
              </w:tabs>
              <w:jc w:val="center"/>
              <w:rPr>
                <w:b/>
                <w:bCs/>
              </w:rPr>
            </w:pPr>
            <w:r w:rsidRPr="00206989">
              <w:rPr>
                <w:b/>
                <w:bCs/>
              </w:rPr>
              <w:t>HOTĂRÂRE</w:t>
            </w:r>
          </w:p>
          <w:p w:rsidR="006E7B26" w:rsidRPr="005A56F5" w:rsidRDefault="00640B1B" w:rsidP="00A61A28">
            <w:pPr>
              <w:autoSpaceDE w:val="0"/>
              <w:autoSpaceDN w:val="0"/>
              <w:adjustRightInd w:val="0"/>
              <w:spacing w:line="276" w:lineRule="auto"/>
              <w:jc w:val="center"/>
              <w:rPr>
                <w:b/>
                <w:lang w:val="ro-RO"/>
              </w:rPr>
            </w:pPr>
            <w:r w:rsidRPr="00640B1B">
              <w:rPr>
                <w:b/>
              </w:rPr>
              <w:t xml:space="preserve">pentru </w:t>
            </w:r>
            <w:r w:rsidRPr="002C1A7C">
              <w:rPr>
                <w:b/>
              </w:rPr>
              <w:t xml:space="preserve">modificarea </w:t>
            </w:r>
            <w:r w:rsidR="00AB7459" w:rsidRPr="002C1A7C">
              <w:rPr>
                <w:b/>
                <w:lang w:val="ro-RO"/>
              </w:rPr>
              <w:t>și completarea</w:t>
            </w:r>
            <w:r w:rsidR="00AB7459" w:rsidRPr="00AB7459">
              <w:rPr>
                <w:b/>
                <w:lang w:val="ro-RO"/>
              </w:rPr>
              <w:t xml:space="preserve"> </w:t>
            </w:r>
            <w:r w:rsidRPr="00640B1B">
              <w:rPr>
                <w:b/>
              </w:rPr>
              <w:t>unor acte normative referitoare la Programul pentru compensarea cu 90% a preţului de referinţă al medicamentelor pentru pensionari</w:t>
            </w:r>
          </w:p>
        </w:tc>
      </w:tr>
      <w:tr w:rsidR="00241CBB"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241CBB" w:rsidP="007B2DFB">
            <w:pPr>
              <w:spacing w:line="276" w:lineRule="auto"/>
              <w:jc w:val="center"/>
              <w:rPr>
                <w:b/>
                <w:lang w:val="ro-RO"/>
              </w:rPr>
            </w:pPr>
            <w:r w:rsidRPr="005A56F5">
              <w:rPr>
                <w:b/>
                <w:lang w:val="ro-RO"/>
              </w:rPr>
              <w:t>Secţiunea a 2-a</w:t>
            </w:r>
          </w:p>
          <w:p w:rsidR="00316BD2" w:rsidRPr="005A56F5" w:rsidRDefault="00241CBB" w:rsidP="002F4D16">
            <w:pPr>
              <w:spacing w:line="276" w:lineRule="auto"/>
              <w:jc w:val="center"/>
              <w:rPr>
                <w:i/>
                <w:iCs/>
                <w:lang w:val="ro-RO"/>
              </w:rPr>
            </w:pPr>
            <w:r w:rsidRPr="005A56F5">
              <w:rPr>
                <w:b/>
                <w:lang w:val="ro-RO"/>
              </w:rPr>
              <w:t>Motivul emiterii actului normativ</w:t>
            </w:r>
            <w:r w:rsidR="00D64ACC" w:rsidRPr="005A56F5">
              <w:rPr>
                <w:lang w:val="ro-RO"/>
              </w:rPr>
              <w:t xml:space="preserve"> </w:t>
            </w:r>
          </w:p>
        </w:tc>
      </w:tr>
      <w:tr w:rsidR="00951DF8"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951DF8" w:rsidRPr="000D0A4B" w:rsidRDefault="00951DF8" w:rsidP="00951DF8">
            <w:pPr>
              <w:numPr>
                <w:ilvl w:val="1"/>
                <w:numId w:val="30"/>
              </w:numPr>
              <w:spacing w:line="276" w:lineRule="auto"/>
              <w:rPr>
                <w:b/>
                <w:lang w:val="ro-RO"/>
              </w:rPr>
            </w:pPr>
            <w:r w:rsidRPr="005A56F5">
              <w:rPr>
                <w:lang w:val="ro-RO"/>
              </w:rPr>
              <w:t>Sursa proiectului de act normativ</w:t>
            </w:r>
          </w:p>
          <w:p w:rsidR="00595223" w:rsidRPr="002C1A7C" w:rsidRDefault="000D0A4B" w:rsidP="00595223">
            <w:pPr>
              <w:tabs>
                <w:tab w:val="left" w:pos="3960"/>
              </w:tabs>
              <w:jc w:val="both"/>
              <w:rPr>
                <w:bCs/>
              </w:rPr>
            </w:pPr>
            <w:r w:rsidRPr="00206989">
              <w:rPr>
                <w:bCs/>
              </w:rPr>
              <w:t xml:space="preserve">      </w:t>
            </w:r>
            <w:r w:rsidRPr="002C1A7C">
              <w:rPr>
                <w:bCs/>
              </w:rPr>
              <w:t xml:space="preserve">Necesitatea punerii în concordanță a unor dispoziții din legislația sistemului de asigurări sociale de sănătate referitoare la medicamentele acordate în ambulatoriu persoanelor cu venituri mici din pensii, urmare a </w:t>
            </w:r>
            <w:r w:rsidR="009D5584" w:rsidRPr="002C1A7C">
              <w:rPr>
                <w:bCs/>
              </w:rPr>
              <w:t xml:space="preserve">majorării valorii punctului de referință stabilit </w:t>
            </w:r>
            <w:r w:rsidR="00595223" w:rsidRPr="002C1A7C">
              <w:rPr>
                <w:bCs/>
              </w:rPr>
              <w:t>potrivit Legii nr. 360/2023 privind sistemul public de pensii,</w:t>
            </w:r>
            <w:r w:rsidR="009D5584" w:rsidRPr="002C1A7C">
              <w:rPr>
                <w:bCs/>
              </w:rPr>
              <w:t xml:space="preserve"> cu modificările ulterioare</w:t>
            </w:r>
            <w:r w:rsidR="002C1A7C" w:rsidRPr="002C1A7C">
              <w:rPr>
                <w:bCs/>
              </w:rPr>
              <w:t>.</w:t>
            </w:r>
          </w:p>
          <w:p w:rsidR="000D0A4B" w:rsidRPr="005A56F5" w:rsidRDefault="000D0A4B" w:rsidP="00B32F15">
            <w:pPr>
              <w:jc w:val="both"/>
              <w:rPr>
                <w:b/>
                <w:lang w:val="ro-RO"/>
              </w:rPr>
            </w:pPr>
            <w:r w:rsidRPr="00206989">
              <w:rPr>
                <w:bCs/>
              </w:rPr>
              <w:t xml:space="preserve">    Implementarea în legislația sistemului de asigurări sociale de sănătate a politicilor în domeniul sănătății cuprinse în viziunea principală a programului Guvernului în domeniul sănătății.</w:t>
            </w:r>
          </w:p>
        </w:tc>
      </w:tr>
      <w:tr w:rsidR="003712CB"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AE312D" w:rsidRDefault="00241CBB" w:rsidP="00951DF8">
            <w:pPr>
              <w:numPr>
                <w:ilvl w:val="1"/>
                <w:numId w:val="30"/>
              </w:numPr>
              <w:spacing w:line="276" w:lineRule="auto"/>
              <w:jc w:val="both"/>
              <w:rPr>
                <w:lang w:val="ro-RO"/>
              </w:rPr>
            </w:pPr>
            <w:r w:rsidRPr="005A56F5">
              <w:rPr>
                <w:lang w:val="ro-RO"/>
              </w:rPr>
              <w:t>Descrierea situaţiei actuale</w:t>
            </w:r>
          </w:p>
          <w:p w:rsidR="000D0A4B" w:rsidRDefault="000D0A4B" w:rsidP="000D0A4B">
            <w:pPr>
              <w:ind w:right="-23"/>
              <w:jc w:val="both"/>
              <w:rPr>
                <w:rFonts w:eastAsia="Batang"/>
                <w:color w:val="000000"/>
                <w:lang w:eastAsia="ko-KR"/>
              </w:rPr>
            </w:pPr>
            <w:r w:rsidRPr="00206989">
              <w:rPr>
                <w:rFonts w:eastAsia="Batang"/>
                <w:lang w:eastAsia="ko-KR"/>
              </w:rPr>
              <w:t xml:space="preserve">     În prezent, programul social cu privire la compensarea cu 90% a medicamentelor din sublista B prevăzută de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republicată, cu modificările și completările ulterioare, are drept beneficiari pensionarii cu </w:t>
            </w:r>
            <w:r w:rsidRPr="00234752">
              <w:rPr>
                <w:rFonts w:eastAsia="Batang"/>
                <w:color w:val="000000"/>
                <w:lang w:eastAsia="ko-KR"/>
              </w:rPr>
              <w:t xml:space="preserve">venituri din pensii şi indemnizaţie socială pentru pensionari, de până la </w:t>
            </w:r>
            <w:r w:rsidR="009D5584">
              <w:rPr>
                <w:rFonts w:eastAsia="Batang"/>
                <w:color w:val="000000"/>
                <w:lang w:eastAsia="ko-KR"/>
              </w:rPr>
              <w:t>2.020</w:t>
            </w:r>
            <w:r w:rsidRPr="00234752">
              <w:rPr>
                <w:rFonts w:eastAsia="Batang"/>
                <w:color w:val="000000"/>
                <w:lang w:eastAsia="ko-KR"/>
              </w:rPr>
              <w:t xml:space="preserve"> lei/lună inclusiv, indiferent dacă realizează sau nu alte venituri, iar finanţarea se asigură în proporţie de 50% din bugetul Fondului naţional unic de asigurări sociale de sănătate şi, respectiv, de 40% de la bugetul de stat prin bugetul aprobat Ministerului Sănătăţii sub formă de transferuri către bugetul Fondului naţional unic de asigurări sociale de sănătate.</w:t>
            </w:r>
          </w:p>
          <w:p w:rsidR="009D5584" w:rsidRPr="00234752" w:rsidRDefault="009D5584" w:rsidP="009D5584">
            <w:pPr>
              <w:ind w:right="-23"/>
              <w:jc w:val="both"/>
              <w:rPr>
                <w:rFonts w:eastAsia="Batang"/>
                <w:color w:val="000000"/>
                <w:lang w:eastAsia="ko-KR"/>
              </w:rPr>
            </w:pPr>
            <w:r>
              <w:rPr>
                <w:rFonts w:eastAsia="Batang"/>
                <w:color w:val="000000"/>
                <w:lang w:eastAsia="ko-KR"/>
              </w:rPr>
              <w:t xml:space="preserve">    </w:t>
            </w:r>
            <w:r w:rsidR="002C1A7C">
              <w:rPr>
                <w:rFonts w:eastAsia="Batang"/>
                <w:color w:val="000000"/>
                <w:lang w:eastAsia="ko-KR"/>
              </w:rPr>
              <w:t xml:space="preserve"> </w:t>
            </w:r>
            <w:r>
              <w:rPr>
                <w:rFonts w:eastAsia="Batang"/>
                <w:color w:val="000000"/>
                <w:lang w:eastAsia="ko-KR"/>
              </w:rPr>
              <w:t xml:space="preserve">De asemenea, potrivit art. II alin. (2) </w:t>
            </w:r>
            <w:r w:rsidRPr="009D5584">
              <w:rPr>
                <w:rFonts w:eastAsia="Batang"/>
                <w:color w:val="000000"/>
                <w:lang w:eastAsia="ko-KR"/>
              </w:rPr>
              <w:t xml:space="preserve">din Ordonanţa de urgenţă a Guvernului nr. 105/2024 privind unele măsuri de protecţie </w:t>
            </w:r>
            <w:r>
              <w:rPr>
                <w:rFonts w:eastAsia="Batang"/>
                <w:color w:val="000000"/>
                <w:lang w:eastAsia="ko-KR"/>
              </w:rPr>
              <w:t>social, a</w:t>
            </w:r>
            <w:r w:rsidRPr="009D5584">
              <w:rPr>
                <w:rFonts w:eastAsia="Batang"/>
                <w:color w:val="000000"/>
                <w:lang w:eastAsia="ko-KR"/>
              </w:rPr>
              <w:t>ctualizarea limitei veniturilor din indemnizaţie socială pentru pensionari şi a veniturilor din pensii, pentru beneficiarii Programului pentru compensarea cu 90% a preţului de referinţă al medicamentelor se face prin hotărâre a Guvernului.</w:t>
            </w:r>
          </w:p>
          <w:p w:rsidR="00B32F15" w:rsidRPr="002C1A7C" w:rsidRDefault="004301D3" w:rsidP="0065332D">
            <w:pPr>
              <w:ind w:right="-23"/>
              <w:jc w:val="both"/>
              <w:rPr>
                <w:rFonts w:eastAsia="Batang"/>
                <w:lang w:eastAsia="ko-KR"/>
              </w:rPr>
            </w:pPr>
            <w:r>
              <w:rPr>
                <w:rFonts w:eastAsia="Batang"/>
                <w:color w:val="FF0000"/>
                <w:lang w:eastAsia="ko-KR"/>
              </w:rPr>
              <w:t xml:space="preserve">    </w:t>
            </w:r>
            <w:r w:rsidR="002C1A7C">
              <w:rPr>
                <w:rFonts w:eastAsia="Batang"/>
                <w:color w:val="FF0000"/>
                <w:lang w:eastAsia="ko-KR"/>
              </w:rPr>
              <w:t xml:space="preserve"> </w:t>
            </w:r>
            <w:r w:rsidRPr="002C1A7C">
              <w:rPr>
                <w:rFonts w:eastAsia="Batang"/>
                <w:lang w:eastAsia="ko-KR"/>
              </w:rPr>
              <w:t>P</w:t>
            </w:r>
            <w:r w:rsidR="00AF41D4" w:rsidRPr="002C1A7C">
              <w:rPr>
                <w:rFonts w:eastAsia="Batang"/>
                <w:lang w:eastAsia="ko-KR"/>
              </w:rPr>
              <w:t xml:space="preserve">otrivit </w:t>
            </w:r>
            <w:r w:rsidRPr="002C1A7C">
              <w:rPr>
                <w:rFonts w:eastAsia="Batang"/>
                <w:lang w:eastAsia="ko-KR"/>
              </w:rPr>
              <w:t xml:space="preserve">prevederilor </w:t>
            </w:r>
            <w:r w:rsidR="00AF41D4" w:rsidRPr="002C1A7C">
              <w:rPr>
                <w:rFonts w:eastAsia="Batang"/>
                <w:lang w:eastAsia="ko-KR"/>
              </w:rPr>
              <w:t>art. 84</w:t>
            </w:r>
            <w:r w:rsidR="000D0A4B" w:rsidRPr="002C1A7C">
              <w:rPr>
                <w:rFonts w:eastAsia="Batang"/>
                <w:lang w:eastAsia="ko-KR"/>
              </w:rPr>
              <w:t xml:space="preserve"> alin. (</w:t>
            </w:r>
            <w:r w:rsidRPr="002C1A7C">
              <w:rPr>
                <w:rFonts w:eastAsia="Batang"/>
                <w:lang w:eastAsia="ko-KR"/>
              </w:rPr>
              <w:t>3</w:t>
            </w:r>
            <w:r w:rsidR="000D0A4B" w:rsidRPr="002C1A7C">
              <w:rPr>
                <w:rFonts w:eastAsia="Batang"/>
                <w:lang w:eastAsia="ko-KR"/>
              </w:rPr>
              <w:t xml:space="preserve">) din Legea nr. </w:t>
            </w:r>
            <w:r w:rsidR="00AD4450" w:rsidRPr="002C1A7C">
              <w:rPr>
                <w:rFonts w:eastAsia="Batang"/>
                <w:lang w:eastAsia="ko-KR"/>
              </w:rPr>
              <w:t>360</w:t>
            </w:r>
            <w:r w:rsidR="000D0A4B" w:rsidRPr="002C1A7C">
              <w:rPr>
                <w:rFonts w:eastAsia="Batang"/>
                <w:lang w:eastAsia="ko-KR"/>
              </w:rPr>
              <w:t>/20</w:t>
            </w:r>
            <w:r w:rsidR="00AF41D4" w:rsidRPr="002C1A7C">
              <w:rPr>
                <w:rFonts w:eastAsia="Batang"/>
                <w:lang w:eastAsia="ko-KR"/>
              </w:rPr>
              <w:t>23</w:t>
            </w:r>
            <w:r w:rsidR="000D0A4B" w:rsidRPr="002C1A7C">
              <w:rPr>
                <w:rFonts w:eastAsia="Batang"/>
                <w:lang w:eastAsia="ko-KR"/>
              </w:rPr>
              <w:t xml:space="preserve"> privind sistemul public de pensii,</w:t>
            </w:r>
            <w:r w:rsidRPr="002C1A7C">
              <w:rPr>
                <w:rFonts w:eastAsia="Batang"/>
                <w:lang w:eastAsia="ko-KR"/>
              </w:rPr>
              <w:t xml:space="preserve"> cu modificările ulterioare,</w:t>
            </w:r>
            <w:r w:rsidR="000D0A4B" w:rsidRPr="002C1A7C">
              <w:rPr>
                <w:rFonts w:eastAsia="Batang"/>
                <w:lang w:eastAsia="ko-KR"/>
              </w:rPr>
              <w:t xml:space="preserve"> </w:t>
            </w:r>
            <w:r w:rsidRPr="002C1A7C">
              <w:rPr>
                <w:rFonts w:eastAsia="Batang"/>
                <w:lang w:eastAsia="ko-KR"/>
              </w:rPr>
              <w:t>valoarea punctului de referinţă se majorează anual, la începutul fiecărui an, în luna ianuarie, cu rata medie anuală a inflaţiei, la care se adaugă 50% din creşterea reală a câştigului salarial mediu brut realizat, indicatori definitivi, cunoscuţi în anul curent pentru anul calendaristic anterior, comunicaţi de Institutul Naţional de Statistică.</w:t>
            </w:r>
          </w:p>
          <w:p w:rsidR="000D0A4B" w:rsidRPr="00234752" w:rsidRDefault="000D0A4B" w:rsidP="000D0A4B">
            <w:pPr>
              <w:ind w:right="-23"/>
              <w:jc w:val="both"/>
              <w:rPr>
                <w:rFonts w:eastAsia="Batang"/>
                <w:color w:val="000000"/>
                <w:lang w:eastAsia="ko-KR"/>
              </w:rPr>
            </w:pPr>
            <w:r w:rsidRPr="00234752">
              <w:rPr>
                <w:rFonts w:eastAsia="Batang"/>
                <w:color w:val="000000"/>
                <w:lang w:eastAsia="ko-KR"/>
              </w:rPr>
              <w:t xml:space="preserve"> </w:t>
            </w:r>
            <w:r w:rsidR="00DC6185" w:rsidRPr="00234752">
              <w:rPr>
                <w:rFonts w:eastAsia="Batang"/>
                <w:color w:val="000000"/>
                <w:lang w:eastAsia="ko-KR"/>
              </w:rPr>
              <w:t xml:space="preserve">   </w:t>
            </w:r>
            <w:r w:rsidR="00595223">
              <w:rPr>
                <w:rFonts w:eastAsia="Batang"/>
                <w:color w:val="000000"/>
                <w:lang w:eastAsia="ko-KR"/>
              </w:rPr>
              <w:t xml:space="preserve"> </w:t>
            </w:r>
            <w:r w:rsidRPr="00234752">
              <w:rPr>
                <w:rFonts w:eastAsia="Batang"/>
                <w:color w:val="000000"/>
                <w:lang w:eastAsia="ko-KR"/>
              </w:rPr>
              <w:t>Totodată, potrivit prevederilor art. 8</w:t>
            </w:r>
            <w:r w:rsidR="0065332D" w:rsidRPr="00234752">
              <w:rPr>
                <w:rFonts w:eastAsia="Batang"/>
                <w:color w:val="000000"/>
                <w:lang w:eastAsia="ko-KR"/>
              </w:rPr>
              <w:t>3</w:t>
            </w:r>
            <w:r w:rsidRPr="00234752">
              <w:rPr>
                <w:rFonts w:eastAsia="Batang"/>
                <w:color w:val="000000"/>
                <w:lang w:eastAsia="ko-KR"/>
              </w:rPr>
              <w:t xml:space="preserve"> alin. (2) din Legea nr. </w:t>
            </w:r>
            <w:r w:rsidR="00AD4450" w:rsidRPr="00234752">
              <w:rPr>
                <w:rFonts w:eastAsia="Batang"/>
                <w:color w:val="000000"/>
                <w:lang w:eastAsia="ko-KR"/>
              </w:rPr>
              <w:t>360</w:t>
            </w:r>
            <w:r w:rsidR="0065332D" w:rsidRPr="00234752">
              <w:rPr>
                <w:rFonts w:eastAsia="Batang"/>
                <w:color w:val="000000"/>
                <w:lang w:eastAsia="ko-KR"/>
              </w:rPr>
              <w:t>/2023</w:t>
            </w:r>
            <w:r w:rsidRPr="00234752">
              <w:rPr>
                <w:rFonts w:eastAsia="Batang"/>
                <w:color w:val="000000"/>
                <w:lang w:eastAsia="ko-KR"/>
              </w:rPr>
              <w:t>, la determinarea cuantumului pensiei, fracţiunile de leu se întregesc la un leu în favoarea pensionarului.</w:t>
            </w:r>
          </w:p>
          <w:p w:rsidR="00C74678" w:rsidRPr="007216FC" w:rsidRDefault="00C74678" w:rsidP="00C74678">
            <w:pPr>
              <w:jc w:val="both"/>
              <w:rPr>
                <w:rFonts w:eastAsia="Batang"/>
                <w:lang w:eastAsia="ko-KR"/>
              </w:rPr>
            </w:pPr>
            <w:r w:rsidRPr="007216FC">
              <w:rPr>
                <w:rFonts w:eastAsia="Batang"/>
                <w:lang w:eastAsia="ko-KR"/>
              </w:rPr>
              <w:t xml:space="preserve">      În cadrul programului social al Guvernului privind compensarea cu 90% pentru medicamentele din sublista B, în perioada </w:t>
            </w:r>
            <w:r w:rsidR="00D16BE4" w:rsidRPr="007216FC">
              <w:rPr>
                <w:rFonts w:eastAsia="Batang"/>
                <w:lang w:eastAsia="ko-KR"/>
              </w:rPr>
              <w:t>ianuarie</w:t>
            </w:r>
            <w:r w:rsidRPr="007216FC">
              <w:rPr>
                <w:rFonts w:eastAsia="Batang"/>
                <w:lang w:eastAsia="ko-KR"/>
              </w:rPr>
              <w:t xml:space="preserve"> 202</w:t>
            </w:r>
            <w:r w:rsidR="00560BA4" w:rsidRPr="007216FC">
              <w:rPr>
                <w:rFonts w:eastAsia="Batang"/>
                <w:lang w:eastAsia="ko-KR"/>
              </w:rPr>
              <w:t>4</w:t>
            </w:r>
            <w:r w:rsidRPr="007216FC">
              <w:rPr>
                <w:rFonts w:eastAsia="Batang"/>
                <w:lang w:eastAsia="ko-KR"/>
              </w:rPr>
              <w:t xml:space="preserve"> – </w:t>
            </w:r>
            <w:r w:rsidR="00163BD8" w:rsidRPr="007216FC">
              <w:rPr>
                <w:rFonts w:eastAsia="Batang"/>
                <w:lang w:eastAsia="ko-KR"/>
              </w:rPr>
              <w:t>septembrie</w:t>
            </w:r>
            <w:r w:rsidRPr="007216FC">
              <w:rPr>
                <w:rFonts w:eastAsia="Batang"/>
                <w:lang w:eastAsia="ko-KR"/>
              </w:rPr>
              <w:t xml:space="preserve"> 202</w:t>
            </w:r>
            <w:r w:rsidR="00560BA4" w:rsidRPr="007216FC">
              <w:rPr>
                <w:rFonts w:eastAsia="Batang"/>
                <w:lang w:eastAsia="ko-KR"/>
              </w:rPr>
              <w:t>4</w:t>
            </w:r>
            <w:r w:rsidRPr="007216FC">
              <w:rPr>
                <w:rFonts w:eastAsia="Batang"/>
                <w:lang w:eastAsia="ko-KR"/>
              </w:rPr>
              <w:t>, au fost eliberate un număr de</w:t>
            </w:r>
            <w:r w:rsidR="00163BD8" w:rsidRPr="007216FC">
              <w:rPr>
                <w:rFonts w:eastAsia="Batang"/>
                <w:lang w:eastAsia="ko-KR"/>
              </w:rPr>
              <w:t xml:space="preserve"> 2.114.087</w:t>
            </w:r>
            <w:r w:rsidRPr="007216FC">
              <w:rPr>
                <w:rFonts w:eastAsia="Batang"/>
                <w:lang w:eastAsia="ko-KR"/>
              </w:rPr>
              <w:t xml:space="preserve">  rețete aferente unui număr de </w:t>
            </w:r>
            <w:r w:rsidR="00163BD8" w:rsidRPr="007216FC">
              <w:rPr>
                <w:rFonts w:eastAsia="Batang"/>
                <w:lang w:eastAsia="ko-KR"/>
              </w:rPr>
              <w:t xml:space="preserve">439.020 </w:t>
            </w:r>
            <w:r w:rsidRPr="007216FC">
              <w:rPr>
                <w:rFonts w:eastAsia="Batang"/>
                <w:lang w:eastAsia="ko-KR"/>
              </w:rPr>
              <w:t xml:space="preserve">pensionari cu o valoare de consum de </w:t>
            </w:r>
            <w:r w:rsidR="00163BD8" w:rsidRPr="007216FC">
              <w:rPr>
                <w:rFonts w:eastAsia="Batang"/>
                <w:lang w:eastAsia="ko-KR"/>
              </w:rPr>
              <w:t xml:space="preserve">278.075.386,54 </w:t>
            </w:r>
            <w:r w:rsidRPr="007216FC">
              <w:rPr>
                <w:rFonts w:eastAsia="Batang"/>
                <w:lang w:eastAsia="ko-KR"/>
              </w:rPr>
              <w:t xml:space="preserve">lei. </w:t>
            </w:r>
          </w:p>
          <w:p w:rsidR="00C74678" w:rsidRDefault="00C74678" w:rsidP="007216FC">
            <w:pPr>
              <w:jc w:val="both"/>
              <w:rPr>
                <w:rFonts w:eastAsia="Batang"/>
                <w:lang w:eastAsia="ko-KR"/>
              </w:rPr>
            </w:pPr>
            <w:r w:rsidRPr="007216FC">
              <w:rPr>
                <w:rFonts w:eastAsia="Batang"/>
                <w:lang w:eastAsia="ko-KR"/>
              </w:rPr>
              <w:t xml:space="preserve">      Consumul total mediu lunar de medicamente pentru pensionarii cu venituri din pensii de până la </w:t>
            </w:r>
            <w:r w:rsidR="00D16BE4" w:rsidRPr="007216FC">
              <w:rPr>
                <w:rFonts w:eastAsia="Batang"/>
                <w:lang w:eastAsia="ko-KR"/>
              </w:rPr>
              <w:t>1.830/</w:t>
            </w:r>
            <w:r w:rsidR="004301D3" w:rsidRPr="007216FC">
              <w:rPr>
                <w:rFonts w:eastAsia="Batang"/>
                <w:lang w:eastAsia="ko-KR"/>
              </w:rPr>
              <w:t>2.020</w:t>
            </w:r>
            <w:r w:rsidRPr="007216FC">
              <w:rPr>
                <w:rFonts w:eastAsia="Batang"/>
                <w:lang w:eastAsia="ko-KR"/>
              </w:rPr>
              <w:t xml:space="preserve"> lei lună/inclusiv, este de aproximativ </w:t>
            </w:r>
            <w:r w:rsidR="00163BD8" w:rsidRPr="007216FC">
              <w:rPr>
                <w:rFonts w:eastAsia="Batang"/>
                <w:lang w:eastAsia="ko-KR"/>
              </w:rPr>
              <w:t xml:space="preserve">30.897.265 </w:t>
            </w:r>
            <w:r w:rsidRPr="007216FC">
              <w:rPr>
                <w:rFonts w:eastAsia="Batang"/>
                <w:lang w:eastAsia="ko-KR"/>
              </w:rPr>
              <w:t>lei.</w:t>
            </w:r>
          </w:p>
          <w:p w:rsidR="007216FC" w:rsidRPr="00C74678" w:rsidRDefault="007216FC" w:rsidP="007216FC">
            <w:pPr>
              <w:jc w:val="both"/>
              <w:rPr>
                <w:rFonts w:eastAsia="Batang"/>
                <w:lang w:eastAsia="ko-KR"/>
              </w:rPr>
            </w:pPr>
          </w:p>
        </w:tc>
      </w:tr>
      <w:tr w:rsidR="00241CBB" w:rsidRPr="005A56F5" w:rsidTr="0084185D">
        <w:trPr>
          <w:trHeight w:val="70"/>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E9051C" w:rsidRDefault="00241CBB" w:rsidP="00951DF8">
            <w:pPr>
              <w:numPr>
                <w:ilvl w:val="1"/>
                <w:numId w:val="30"/>
              </w:numPr>
              <w:spacing w:line="276" w:lineRule="auto"/>
              <w:jc w:val="both"/>
              <w:rPr>
                <w:lang w:val="ro-RO"/>
              </w:rPr>
            </w:pPr>
            <w:r w:rsidRPr="005A56F5">
              <w:rPr>
                <w:lang w:val="ro-RO"/>
              </w:rPr>
              <w:t>Schimbări preconizate</w:t>
            </w:r>
          </w:p>
          <w:p w:rsidR="000D0A4B" w:rsidRPr="002C1A7C" w:rsidRDefault="000D0A4B" w:rsidP="000D0A4B">
            <w:pPr>
              <w:ind w:right="-23"/>
              <w:jc w:val="both"/>
              <w:rPr>
                <w:rFonts w:eastAsia="Batang"/>
                <w:lang w:eastAsia="ko-KR"/>
              </w:rPr>
            </w:pPr>
            <w:r>
              <w:rPr>
                <w:rFonts w:eastAsia="Batang"/>
                <w:lang w:eastAsia="ko-KR"/>
              </w:rPr>
              <w:t xml:space="preserve">    </w:t>
            </w:r>
            <w:r w:rsidRPr="00206989">
              <w:rPr>
                <w:rFonts w:eastAsia="Batang"/>
                <w:lang w:eastAsia="ko-KR"/>
              </w:rPr>
              <w:t xml:space="preserve">În scopul creşterii accesului la medicamentele acordate în ambulatoriu pensionarilor, prin prezentul act normativ se propune accesul la programul social al Guvernului privind compensarea cu 90% pentru medicamentele din sublista B prevăzută de </w:t>
            </w:r>
            <w:r w:rsidRPr="002C1A7C">
              <w:rPr>
                <w:rFonts w:eastAsia="Batang"/>
                <w:lang w:eastAsia="ko-KR"/>
              </w:rPr>
              <w:t xml:space="preserve">Hotărârea Guvernului nr. 720/2008, al pensionarilor cu venituri din pensii și indemnizație socială, de până la </w:t>
            </w:r>
            <w:r w:rsidR="004301D3" w:rsidRPr="002C1A7C">
              <w:t>2.265</w:t>
            </w:r>
            <w:r w:rsidR="00DC6185" w:rsidRPr="002C1A7C">
              <w:t xml:space="preserve"> </w:t>
            </w:r>
            <w:r w:rsidRPr="002C1A7C">
              <w:rPr>
                <w:rFonts w:eastAsia="Batang"/>
                <w:lang w:eastAsia="ko-KR"/>
              </w:rPr>
              <w:t xml:space="preserve">lei/lună inclusiv, indiferent dacă realizează sau nu alte venituri. </w:t>
            </w:r>
          </w:p>
          <w:p w:rsidR="000D0A4B" w:rsidRPr="002C1A7C" w:rsidRDefault="000D0A4B" w:rsidP="00A70D77">
            <w:pPr>
              <w:ind w:right="-23"/>
              <w:jc w:val="both"/>
              <w:rPr>
                <w:rFonts w:eastAsia="Batang"/>
                <w:lang w:eastAsia="ko-KR"/>
              </w:rPr>
            </w:pPr>
            <w:r w:rsidRPr="00234752">
              <w:rPr>
                <w:rFonts w:eastAsia="Batang"/>
                <w:color w:val="000000"/>
                <w:lang w:eastAsia="ko-KR"/>
              </w:rPr>
              <w:t xml:space="preserve">    </w:t>
            </w:r>
            <w:r w:rsidRPr="002C1A7C">
              <w:rPr>
                <w:rFonts w:eastAsia="Batang"/>
                <w:lang w:eastAsia="ko-KR"/>
              </w:rPr>
              <w:t xml:space="preserve">Această creștere a plafonului de la </w:t>
            </w:r>
            <w:r w:rsidR="004301D3" w:rsidRPr="002C1A7C">
              <w:rPr>
                <w:rFonts w:eastAsia="Batang"/>
                <w:lang w:eastAsia="ko-KR"/>
              </w:rPr>
              <w:t>2</w:t>
            </w:r>
            <w:r w:rsidRPr="002C1A7C">
              <w:rPr>
                <w:rFonts w:eastAsia="Batang"/>
                <w:lang w:eastAsia="ko-KR"/>
              </w:rPr>
              <w:t>.</w:t>
            </w:r>
            <w:r w:rsidR="004301D3" w:rsidRPr="002C1A7C">
              <w:rPr>
                <w:rFonts w:eastAsia="Batang"/>
                <w:lang w:eastAsia="ko-KR"/>
              </w:rPr>
              <w:t>020</w:t>
            </w:r>
            <w:r w:rsidRPr="002C1A7C">
              <w:rPr>
                <w:rFonts w:eastAsia="Batang"/>
                <w:lang w:eastAsia="ko-KR"/>
              </w:rPr>
              <w:t xml:space="preserve"> lei la </w:t>
            </w:r>
            <w:r w:rsidR="004301D3" w:rsidRPr="002C1A7C">
              <w:rPr>
                <w:rFonts w:eastAsia="Batang"/>
                <w:lang w:eastAsia="ko-KR"/>
              </w:rPr>
              <w:t>2.265</w:t>
            </w:r>
            <w:r w:rsidRPr="002C1A7C">
              <w:t xml:space="preserve"> </w:t>
            </w:r>
            <w:r w:rsidRPr="002C1A7C">
              <w:rPr>
                <w:rFonts w:eastAsia="Batang"/>
                <w:lang w:eastAsia="ko-KR"/>
              </w:rPr>
              <w:t xml:space="preserve">lei/lună inclusiv, are în vedere </w:t>
            </w:r>
            <w:r w:rsidR="004301D3" w:rsidRPr="002C1A7C">
              <w:rPr>
                <w:rFonts w:eastAsia="Batang"/>
                <w:lang w:eastAsia="ko-KR"/>
              </w:rPr>
              <w:t xml:space="preserve">procentul de 12,1% comunicat de Casa Națională de Pensii Publice, </w:t>
            </w:r>
            <w:r w:rsidR="002C1A7C">
              <w:rPr>
                <w:rFonts w:eastAsia="Batang"/>
                <w:lang w:eastAsia="ko-KR"/>
              </w:rPr>
              <w:t xml:space="preserve">procent </w:t>
            </w:r>
            <w:r w:rsidR="004301D3" w:rsidRPr="002C1A7C">
              <w:rPr>
                <w:rFonts w:eastAsia="Batang"/>
                <w:lang w:eastAsia="ko-KR"/>
              </w:rPr>
              <w:t xml:space="preserve">cu care se majorează valoarea punctului </w:t>
            </w:r>
            <w:r w:rsidR="004301D3" w:rsidRPr="002C1A7C">
              <w:rPr>
                <w:rFonts w:eastAsia="Batang"/>
                <w:lang w:eastAsia="ko-KR"/>
              </w:rPr>
              <w:lastRenderedPageBreak/>
              <w:t xml:space="preserve">de referinţă din luna ianuarie 2025, potrivit prevederilor art. 84 alin. (3) din Legea nr. 360/2023, precum și </w:t>
            </w:r>
            <w:r w:rsidRPr="002C1A7C">
              <w:rPr>
                <w:rFonts w:eastAsia="Batang"/>
                <w:lang w:eastAsia="ko-KR"/>
              </w:rPr>
              <w:t>prevederile art. 8</w:t>
            </w:r>
            <w:r w:rsidR="0084185D" w:rsidRPr="002C1A7C">
              <w:rPr>
                <w:rFonts w:eastAsia="Batang"/>
                <w:lang w:eastAsia="ko-KR"/>
              </w:rPr>
              <w:t>3</w:t>
            </w:r>
            <w:r w:rsidRPr="002C1A7C">
              <w:rPr>
                <w:rFonts w:eastAsia="Batang"/>
                <w:lang w:eastAsia="ko-KR"/>
              </w:rPr>
              <w:t xml:space="preserve"> alin. (2) din Legea nr. </w:t>
            </w:r>
            <w:r w:rsidR="00AD4450" w:rsidRPr="002C1A7C">
              <w:rPr>
                <w:rFonts w:eastAsia="Batang"/>
                <w:lang w:eastAsia="ko-KR"/>
              </w:rPr>
              <w:t>360</w:t>
            </w:r>
            <w:r w:rsidRPr="002C1A7C">
              <w:rPr>
                <w:rFonts w:eastAsia="Batang"/>
                <w:lang w:eastAsia="ko-KR"/>
              </w:rPr>
              <w:t>/20</w:t>
            </w:r>
            <w:r w:rsidR="0084185D" w:rsidRPr="002C1A7C">
              <w:rPr>
                <w:rFonts w:eastAsia="Batang"/>
                <w:lang w:eastAsia="ko-KR"/>
              </w:rPr>
              <w:t>23</w:t>
            </w:r>
            <w:r w:rsidR="00A70D77" w:rsidRPr="002C1A7C">
              <w:rPr>
                <w:rFonts w:eastAsia="Batang"/>
                <w:lang w:eastAsia="ko-KR"/>
              </w:rPr>
              <w:t>, astfel încât să nu fie afectat accesul pensionarilor la medicamente compensate cu 90%.</w:t>
            </w:r>
          </w:p>
          <w:p w:rsidR="004301D3" w:rsidRPr="002C1A7C" w:rsidRDefault="000D0A4B" w:rsidP="002C1A7C">
            <w:pPr>
              <w:jc w:val="both"/>
              <w:rPr>
                <w:rFonts w:eastAsia="Batang"/>
                <w:lang w:eastAsia="ko-KR"/>
              </w:rPr>
            </w:pPr>
            <w:r w:rsidRPr="00206989">
              <w:rPr>
                <w:rFonts w:eastAsia="Batang"/>
                <w:lang w:eastAsia="ko-KR"/>
              </w:rPr>
              <w:t xml:space="preserve">     Astfel, ținând cont de faptul că începând cu data de 1 </w:t>
            </w:r>
            <w:r w:rsidR="00A70D77">
              <w:rPr>
                <w:rFonts w:eastAsia="Batang"/>
                <w:lang w:eastAsia="ko-KR"/>
              </w:rPr>
              <w:t>ianuarie</w:t>
            </w:r>
            <w:r w:rsidRPr="00206989">
              <w:rPr>
                <w:rFonts w:eastAsia="Batang"/>
                <w:lang w:eastAsia="ko-KR"/>
              </w:rPr>
              <w:t xml:space="preserve"> 202</w:t>
            </w:r>
            <w:r w:rsidR="00A70D77">
              <w:rPr>
                <w:rFonts w:eastAsia="Batang"/>
                <w:lang w:eastAsia="ko-KR"/>
              </w:rPr>
              <w:t>5</w:t>
            </w:r>
            <w:r w:rsidRPr="00206989">
              <w:rPr>
                <w:rFonts w:eastAsia="Batang"/>
                <w:lang w:eastAsia="ko-KR"/>
              </w:rPr>
              <w:t xml:space="preserve"> sunt aplicabile prevederile legale menționate anterior, iar prezentul proiect de hotărare de Guvern este un act subsecvent actului normativ respectiv, acesta urmează să se aplice începând cu data de 1 </w:t>
            </w:r>
            <w:r w:rsidR="00A70D77">
              <w:rPr>
                <w:rFonts w:eastAsia="Batang"/>
                <w:lang w:eastAsia="ko-KR"/>
              </w:rPr>
              <w:t>ianuarie</w:t>
            </w:r>
            <w:r w:rsidRPr="00206989">
              <w:rPr>
                <w:rFonts w:eastAsia="Batang"/>
                <w:lang w:eastAsia="ko-KR"/>
              </w:rPr>
              <w:t xml:space="preserve"> 202</w:t>
            </w:r>
            <w:r w:rsidR="00A70D77">
              <w:rPr>
                <w:rFonts w:eastAsia="Batang"/>
                <w:lang w:eastAsia="ko-KR"/>
              </w:rPr>
              <w:t>5</w:t>
            </w:r>
            <w:r w:rsidRPr="00206989">
              <w:rPr>
                <w:rFonts w:eastAsia="Batang"/>
                <w:lang w:eastAsia="ko-KR"/>
              </w:rPr>
              <w:t>.</w:t>
            </w:r>
          </w:p>
        </w:tc>
      </w:tr>
      <w:tr w:rsidR="009E7CED" w:rsidRPr="005A56F5" w:rsidTr="0084185D">
        <w:trPr>
          <w:trHeight w:val="70"/>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E9051C" w:rsidRPr="005A56F5" w:rsidRDefault="00951DF8" w:rsidP="00951DF8">
            <w:pPr>
              <w:spacing w:line="276" w:lineRule="auto"/>
              <w:jc w:val="both"/>
              <w:rPr>
                <w:b/>
                <w:lang w:val="ro-RO"/>
              </w:rPr>
            </w:pPr>
            <w:r w:rsidRPr="005A56F5">
              <w:rPr>
                <w:b/>
                <w:lang w:val="ro-RO"/>
              </w:rPr>
              <w:lastRenderedPageBreak/>
              <w:t xml:space="preserve">2.4 </w:t>
            </w:r>
            <w:r w:rsidR="00860619" w:rsidRPr="005A56F5">
              <w:rPr>
                <w:lang w:val="ro-RO"/>
              </w:rPr>
              <w:t>Alte informații</w:t>
            </w:r>
          </w:p>
        </w:tc>
      </w:tr>
      <w:tr w:rsidR="00241CBB"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241CBB" w:rsidP="00951DF8">
            <w:pPr>
              <w:spacing w:line="276" w:lineRule="auto"/>
              <w:jc w:val="center"/>
              <w:rPr>
                <w:b/>
                <w:lang w:val="ro-RO"/>
              </w:rPr>
            </w:pPr>
            <w:r w:rsidRPr="005A56F5">
              <w:rPr>
                <w:b/>
                <w:lang w:val="ro-RO"/>
              </w:rPr>
              <w:t>Secţiunea a 3-a</w:t>
            </w:r>
          </w:p>
          <w:p w:rsidR="00A019E8" w:rsidRPr="005A56F5" w:rsidRDefault="00241CBB" w:rsidP="00951DF8">
            <w:pPr>
              <w:spacing w:line="276" w:lineRule="auto"/>
              <w:jc w:val="center"/>
              <w:rPr>
                <w:b/>
                <w:lang w:val="ro-RO"/>
              </w:rPr>
            </w:pPr>
            <w:r w:rsidRPr="005A56F5">
              <w:rPr>
                <w:b/>
                <w:lang w:val="ro-RO"/>
              </w:rPr>
              <w:t xml:space="preserve">Impactul socioeconomic </w:t>
            </w:r>
          </w:p>
        </w:tc>
      </w:tr>
      <w:tr w:rsidR="00951DF8"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951DF8" w:rsidRDefault="00951DF8" w:rsidP="000D0A4B">
            <w:pPr>
              <w:jc w:val="both"/>
              <w:rPr>
                <w:lang w:val="ro-RO"/>
              </w:rPr>
            </w:pPr>
            <w:r w:rsidRPr="005A56F5">
              <w:rPr>
                <w:b/>
                <w:lang w:val="ro-RO"/>
              </w:rPr>
              <w:t>3.1</w:t>
            </w:r>
            <w:r w:rsidRPr="005A56F5">
              <w:rPr>
                <w:lang w:val="ro-RO"/>
              </w:rPr>
              <w:t xml:space="preserve"> Descrierea generală a beneficiilor și costurilor estimate ca urmare a intrării în vigoare a actului normativ</w:t>
            </w:r>
          </w:p>
          <w:p w:rsidR="00610B5F" w:rsidRPr="005A56F5" w:rsidRDefault="00610B5F" w:rsidP="000D0A4B">
            <w:pPr>
              <w:jc w:val="both"/>
              <w:rPr>
                <w:lang w:val="ro-RO"/>
              </w:rPr>
            </w:pPr>
            <w:r w:rsidRPr="00206989">
              <w:t>Proiectul de act normativ nu se referă la acest subiect</w:t>
            </w:r>
          </w:p>
        </w:tc>
      </w:tr>
      <w:tr w:rsidR="00951DF8"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951DF8" w:rsidRPr="00D74B6C" w:rsidRDefault="00951DF8" w:rsidP="00951DF8">
            <w:pPr>
              <w:rPr>
                <w:lang w:val="ro-RO"/>
              </w:rPr>
            </w:pPr>
            <w:r w:rsidRPr="00D74B6C">
              <w:rPr>
                <w:b/>
                <w:lang w:val="ro-RO"/>
              </w:rPr>
              <w:t>3.2</w:t>
            </w:r>
            <w:r w:rsidRPr="00D74B6C">
              <w:rPr>
                <w:lang w:val="ro-RO"/>
              </w:rPr>
              <w:t xml:space="preserve"> Impactul social</w:t>
            </w:r>
          </w:p>
          <w:p w:rsidR="00A70D77" w:rsidRPr="006E05F1" w:rsidRDefault="00610B5F" w:rsidP="00A70D77">
            <w:pPr>
              <w:ind w:right="-23"/>
              <w:jc w:val="both"/>
              <w:rPr>
                <w:rFonts w:eastAsia="Batang"/>
                <w:color w:val="FF0000"/>
                <w:lang w:eastAsia="ko-KR"/>
              </w:rPr>
            </w:pPr>
            <w:r w:rsidRPr="006E05F1">
              <w:rPr>
                <w:rFonts w:eastAsia="Batang"/>
                <w:color w:val="FF0000"/>
                <w:lang w:eastAsia="ko-KR"/>
              </w:rPr>
              <w:t xml:space="preserve">     </w:t>
            </w:r>
            <w:r w:rsidR="00A70D77" w:rsidRPr="00D74B6C">
              <w:rPr>
                <w:rFonts w:eastAsia="Batang"/>
                <w:lang w:eastAsia="ko-KR"/>
              </w:rPr>
              <w:t xml:space="preserve">Menținerea accesului la medicamentele acordate în ambulatoriu în cadrul programului social al Guvernului privind compensarea cu 90% pentru medicamentele din sublista B prevăzută de Hotărârea Guvernului nr. 720/2008, pentru pensionarii care, în urmă </w:t>
            </w:r>
            <w:r w:rsidR="00A70D77" w:rsidRPr="00A70D77">
              <w:rPr>
                <w:rFonts w:eastAsia="Batang"/>
                <w:lang w:eastAsia="ko-KR"/>
              </w:rPr>
              <w:t>major</w:t>
            </w:r>
            <w:r w:rsidR="00A70D77">
              <w:rPr>
                <w:rFonts w:eastAsia="Batang"/>
                <w:lang w:eastAsia="ko-KR"/>
              </w:rPr>
              <w:t>ării</w:t>
            </w:r>
            <w:r w:rsidR="00A70D77" w:rsidRPr="00A70D77">
              <w:rPr>
                <w:rFonts w:eastAsia="Batang"/>
                <w:lang w:eastAsia="ko-KR"/>
              </w:rPr>
              <w:t xml:space="preserve"> valo</w:t>
            </w:r>
            <w:r w:rsidR="00A70D77">
              <w:rPr>
                <w:rFonts w:eastAsia="Batang"/>
                <w:lang w:eastAsia="ko-KR"/>
              </w:rPr>
              <w:t>rii</w:t>
            </w:r>
            <w:r w:rsidR="00A70D77" w:rsidRPr="00A70D77">
              <w:rPr>
                <w:rFonts w:eastAsia="Batang"/>
                <w:lang w:eastAsia="ko-KR"/>
              </w:rPr>
              <w:t xml:space="preserve"> punctului de referinţă din luna ianuarie 2025</w:t>
            </w:r>
            <w:r w:rsidR="00A70D77">
              <w:rPr>
                <w:rFonts w:eastAsia="Batang"/>
                <w:lang w:eastAsia="ko-KR"/>
              </w:rPr>
              <w:t>,</w:t>
            </w:r>
            <w:r w:rsidR="00A70D77" w:rsidRPr="00D74B6C">
              <w:rPr>
                <w:rFonts w:eastAsia="Batang"/>
                <w:lang w:eastAsia="ko-KR"/>
              </w:rPr>
              <w:t xml:space="preserve"> vor realiza venituri din pensii și indemnizații sociale, de până la </w:t>
            </w:r>
            <w:r w:rsidR="00A70D77">
              <w:rPr>
                <w:rFonts w:eastAsia="Batang"/>
                <w:lang w:eastAsia="ko-KR"/>
              </w:rPr>
              <w:t>2</w:t>
            </w:r>
            <w:r w:rsidR="00A70D77" w:rsidRPr="00D74B6C">
              <w:t>.</w:t>
            </w:r>
            <w:r w:rsidR="00A70D77">
              <w:t>265</w:t>
            </w:r>
            <w:r w:rsidR="00A70D77" w:rsidRPr="00D74B6C">
              <w:t xml:space="preserve"> </w:t>
            </w:r>
            <w:r w:rsidR="00A70D77" w:rsidRPr="00D74B6C">
              <w:rPr>
                <w:rFonts w:eastAsia="Batang"/>
                <w:lang w:eastAsia="ko-KR"/>
              </w:rPr>
              <w:t xml:space="preserve">lei/lună inclusiv, indiferent dacă realizează sau nu alte venituri, față de valoarea din prezent de </w:t>
            </w:r>
            <w:r w:rsidR="00A70D77">
              <w:rPr>
                <w:rFonts w:eastAsia="Batang"/>
                <w:lang w:eastAsia="ko-KR"/>
              </w:rPr>
              <w:t>2</w:t>
            </w:r>
            <w:r w:rsidR="00A70D77" w:rsidRPr="00D74B6C">
              <w:t>.0</w:t>
            </w:r>
            <w:r w:rsidR="00A70D77">
              <w:t>20</w:t>
            </w:r>
            <w:r w:rsidR="00A70D77" w:rsidRPr="00D74B6C">
              <w:t xml:space="preserve"> </w:t>
            </w:r>
            <w:r w:rsidR="00A70D77" w:rsidRPr="00D74B6C">
              <w:rPr>
                <w:rFonts w:eastAsia="Batang"/>
                <w:lang w:eastAsia="ko-KR"/>
              </w:rPr>
              <w:t>lei.</w:t>
            </w:r>
          </w:p>
        </w:tc>
      </w:tr>
      <w:tr w:rsidR="00951DF8"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951DF8" w:rsidRPr="00D74B6C" w:rsidRDefault="00951DF8" w:rsidP="00951DF8">
            <w:pPr>
              <w:jc w:val="both"/>
              <w:rPr>
                <w:lang w:val="ro-RO"/>
              </w:rPr>
            </w:pPr>
            <w:r w:rsidRPr="00D74B6C">
              <w:rPr>
                <w:b/>
                <w:lang w:val="ro-RO"/>
              </w:rPr>
              <w:t>3.3</w:t>
            </w:r>
            <w:r w:rsidRPr="00D74B6C">
              <w:rPr>
                <w:lang w:val="ro-RO"/>
              </w:rPr>
              <w:t xml:space="preserve"> Impactul asupra drepturilor și libertăților fundamentale ale omului</w:t>
            </w:r>
          </w:p>
          <w:p w:rsidR="00610B5F" w:rsidRPr="00D74B6C" w:rsidRDefault="00610B5F" w:rsidP="00951DF8">
            <w:pPr>
              <w:jc w:val="both"/>
              <w:rPr>
                <w:lang w:val="ro-RO"/>
              </w:rPr>
            </w:pPr>
            <w:r w:rsidRPr="00D74B6C">
              <w:t>Proiectul de act normativ nu se referă la acest subiect</w:t>
            </w:r>
          </w:p>
        </w:tc>
      </w:tr>
      <w:tr w:rsidR="00241CBB"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951DF8" w:rsidRPr="005A56F5" w:rsidRDefault="00951DF8" w:rsidP="00951DF8">
            <w:pPr>
              <w:jc w:val="both"/>
              <w:rPr>
                <w:lang w:val="ro-RO"/>
              </w:rPr>
            </w:pPr>
            <w:r w:rsidRPr="005A56F5">
              <w:rPr>
                <w:b/>
                <w:lang w:val="ro-RO"/>
              </w:rPr>
              <w:t>3.4</w:t>
            </w:r>
            <w:r w:rsidRPr="005A56F5">
              <w:rPr>
                <w:lang w:val="ro-RO"/>
              </w:rPr>
              <w:t xml:space="preserve"> Impactul macroeconomic</w:t>
            </w:r>
          </w:p>
          <w:p w:rsidR="00951DF8" w:rsidRPr="005A56F5" w:rsidRDefault="00951DF8" w:rsidP="00951DF8">
            <w:pPr>
              <w:jc w:val="both"/>
              <w:rPr>
                <w:lang w:val="ro-RO"/>
              </w:rPr>
            </w:pPr>
            <w:r w:rsidRPr="005A56F5">
              <w:rPr>
                <w:lang w:val="ro-RO"/>
              </w:rPr>
              <w:t xml:space="preserve">             3.4.1 Impactul asupra economiei și asupra principalilor indicatori macroeconomici</w:t>
            </w:r>
          </w:p>
          <w:p w:rsidR="00951DF8" w:rsidRDefault="00951DF8" w:rsidP="00951DF8">
            <w:pPr>
              <w:jc w:val="both"/>
              <w:rPr>
                <w:lang w:val="ro-RO"/>
              </w:rPr>
            </w:pPr>
            <w:r w:rsidRPr="005A56F5">
              <w:rPr>
                <w:lang w:val="ro-RO"/>
              </w:rPr>
              <w:t xml:space="preserve">             3.4.2 Impactul asupra mediului concurențial si domeniul ajutoarelor de stat</w:t>
            </w:r>
          </w:p>
          <w:p w:rsidR="00610B5F" w:rsidRPr="00610B5F" w:rsidRDefault="00610B5F" w:rsidP="00951DF8">
            <w:pPr>
              <w:jc w:val="both"/>
              <w:rPr>
                <w:b/>
                <w:lang w:val="ro-RO"/>
              </w:rPr>
            </w:pPr>
            <w:r w:rsidRPr="00206989">
              <w:t>Proiectul de act normativ nu se referă la acest subiect</w:t>
            </w:r>
          </w:p>
        </w:tc>
      </w:tr>
      <w:tr w:rsidR="00241CBB"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E61609" w:rsidRDefault="00951DF8" w:rsidP="00951DF8">
            <w:pPr>
              <w:rPr>
                <w:lang w:val="ro-RO"/>
              </w:rPr>
            </w:pPr>
            <w:r w:rsidRPr="005A56F5">
              <w:rPr>
                <w:b/>
                <w:lang w:val="ro-RO"/>
              </w:rPr>
              <w:t>3.5</w:t>
            </w:r>
            <w:r w:rsidRPr="005A56F5">
              <w:rPr>
                <w:lang w:val="ro-RO"/>
              </w:rPr>
              <w:t>. Impactul asupra mediului de afaceri</w:t>
            </w:r>
          </w:p>
          <w:p w:rsidR="00610B5F" w:rsidRPr="005A56F5" w:rsidRDefault="00610B5F" w:rsidP="00951DF8">
            <w:pPr>
              <w:rPr>
                <w:lang w:val="ro-RO"/>
              </w:rPr>
            </w:pPr>
            <w:r w:rsidRPr="00206989">
              <w:t>Proiectul de act normativ nu se referă la acest subiect</w:t>
            </w:r>
          </w:p>
        </w:tc>
      </w:tr>
      <w:tr w:rsidR="00241CBB"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DC5DEE" w:rsidRDefault="00951DF8" w:rsidP="00951DF8">
            <w:pPr>
              <w:jc w:val="both"/>
              <w:rPr>
                <w:lang w:val="ro-RO"/>
              </w:rPr>
            </w:pPr>
            <w:r w:rsidRPr="005A56F5">
              <w:rPr>
                <w:b/>
                <w:lang w:val="ro-RO"/>
              </w:rPr>
              <w:t>3.6</w:t>
            </w:r>
            <w:r w:rsidRPr="005A56F5">
              <w:rPr>
                <w:lang w:val="ro-RO"/>
              </w:rPr>
              <w:t xml:space="preserve"> Impactul asupra mediului înconjurător</w:t>
            </w:r>
          </w:p>
          <w:p w:rsidR="00610B5F" w:rsidRPr="005A56F5" w:rsidRDefault="00610B5F" w:rsidP="00951DF8">
            <w:pPr>
              <w:jc w:val="both"/>
              <w:rPr>
                <w:lang w:val="ro-RO"/>
              </w:rPr>
            </w:pPr>
            <w:r w:rsidRPr="00206989">
              <w:t>Proiectul de act normativ nu se referă la acest subiect</w:t>
            </w:r>
          </w:p>
        </w:tc>
      </w:tr>
      <w:tr w:rsidR="00241CBB"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DC5DEE" w:rsidRDefault="00951DF8" w:rsidP="00951DF8">
            <w:pPr>
              <w:jc w:val="both"/>
              <w:rPr>
                <w:lang w:val="ro-RO"/>
              </w:rPr>
            </w:pPr>
            <w:r w:rsidRPr="005A56F5">
              <w:rPr>
                <w:b/>
                <w:lang w:val="ro-RO"/>
              </w:rPr>
              <w:t>3.7</w:t>
            </w:r>
            <w:r w:rsidRPr="005A56F5">
              <w:rPr>
                <w:lang w:val="ro-RO"/>
              </w:rPr>
              <w:t xml:space="preserve"> Evaluarea costurilor și beneficiilor din perspectiva inovării și digitalizării</w:t>
            </w:r>
          </w:p>
          <w:p w:rsidR="00610B5F" w:rsidRPr="005A56F5" w:rsidRDefault="00610B5F" w:rsidP="00951DF8">
            <w:pPr>
              <w:jc w:val="both"/>
              <w:rPr>
                <w:lang w:val="ro-RO"/>
              </w:rPr>
            </w:pPr>
            <w:r w:rsidRPr="00206989">
              <w:t>Proiectul de act normativ nu se referă la acest subiect</w:t>
            </w:r>
          </w:p>
        </w:tc>
      </w:tr>
      <w:tr w:rsidR="00951DF8"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951DF8" w:rsidRDefault="00951DF8" w:rsidP="00951DF8">
            <w:pPr>
              <w:jc w:val="both"/>
              <w:rPr>
                <w:shd w:val="clear" w:color="auto" w:fill="FFFFFF"/>
                <w:lang w:val="ro-RO"/>
              </w:rPr>
            </w:pPr>
            <w:r w:rsidRPr="005A56F5">
              <w:rPr>
                <w:b/>
                <w:shd w:val="clear" w:color="auto" w:fill="FFFFFF"/>
                <w:lang w:val="ro-RO"/>
              </w:rPr>
              <w:t>3.8</w:t>
            </w:r>
            <w:r w:rsidRPr="005A56F5">
              <w:rPr>
                <w:shd w:val="clear" w:color="auto" w:fill="FFFFFF"/>
                <w:lang w:val="ro-RO"/>
              </w:rPr>
              <w:t xml:space="preserve"> Evaluarea costurilor și beneficiilor din perspectiva dezvoltării durabile</w:t>
            </w:r>
          </w:p>
          <w:p w:rsidR="00610B5F" w:rsidRPr="005A56F5" w:rsidRDefault="00610B5F" w:rsidP="00951DF8">
            <w:pPr>
              <w:jc w:val="both"/>
              <w:rPr>
                <w:lang w:val="ro-RO"/>
              </w:rPr>
            </w:pPr>
            <w:r w:rsidRPr="00206989">
              <w:t>Proiectul de act normativ nu se referă la acest subiect</w:t>
            </w:r>
          </w:p>
        </w:tc>
      </w:tr>
      <w:tr w:rsidR="00951DF8"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951DF8" w:rsidRDefault="00951DF8" w:rsidP="00951DF8">
            <w:pPr>
              <w:jc w:val="both"/>
              <w:rPr>
                <w:lang w:val="ro-RO"/>
              </w:rPr>
            </w:pPr>
            <w:r w:rsidRPr="005A56F5">
              <w:rPr>
                <w:b/>
                <w:lang w:val="ro-RO"/>
              </w:rPr>
              <w:t>3.9</w:t>
            </w:r>
            <w:r w:rsidRPr="005A56F5">
              <w:rPr>
                <w:lang w:val="ro-RO"/>
              </w:rPr>
              <w:t xml:space="preserve"> Alte informații</w:t>
            </w:r>
          </w:p>
          <w:p w:rsidR="0099610D" w:rsidRPr="005A56F5" w:rsidRDefault="0099610D" w:rsidP="00951DF8">
            <w:pPr>
              <w:jc w:val="both"/>
              <w:rPr>
                <w:lang w:val="ro-RO"/>
              </w:rPr>
            </w:pPr>
            <w:r w:rsidRPr="0099610D">
              <w:rPr>
                <w:lang w:val="ro-RO"/>
              </w:rPr>
              <w:t>Nu sunt</w:t>
            </w:r>
          </w:p>
        </w:tc>
      </w:tr>
      <w:tr w:rsidR="00241CBB"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241CBB" w:rsidP="007B2DFB">
            <w:pPr>
              <w:spacing w:line="276" w:lineRule="auto"/>
              <w:jc w:val="center"/>
              <w:rPr>
                <w:b/>
                <w:lang w:val="ro-RO"/>
              </w:rPr>
            </w:pPr>
            <w:r w:rsidRPr="005A56F5">
              <w:rPr>
                <w:b/>
                <w:lang w:val="ro-RO"/>
              </w:rPr>
              <w:t>Secţiunea a 4-a</w:t>
            </w:r>
          </w:p>
          <w:p w:rsidR="00241CBB" w:rsidRPr="005A56F5" w:rsidRDefault="00241CBB" w:rsidP="007B2DFB">
            <w:pPr>
              <w:spacing w:line="276" w:lineRule="auto"/>
              <w:jc w:val="center"/>
              <w:rPr>
                <w:b/>
                <w:lang w:val="ro-RO"/>
              </w:rPr>
            </w:pPr>
            <w:r w:rsidRPr="005A56F5">
              <w:rPr>
                <w:b/>
                <w:lang w:val="ro-RO"/>
              </w:rPr>
              <w:t>Impactul financiar asupra bugetului general consolidat,</w:t>
            </w:r>
          </w:p>
          <w:p w:rsidR="00A019E8" w:rsidRPr="005A56F5" w:rsidRDefault="00241CBB" w:rsidP="005331CC">
            <w:pPr>
              <w:spacing w:line="276" w:lineRule="auto"/>
              <w:jc w:val="center"/>
              <w:rPr>
                <w:b/>
                <w:lang w:val="ro-RO"/>
              </w:rPr>
            </w:pPr>
            <w:r w:rsidRPr="005A56F5">
              <w:rPr>
                <w:b/>
                <w:lang w:val="ro-RO"/>
              </w:rPr>
              <w:t>atât pe termen scurt, pentru anul curent, cât şi pe termen lung (pe 5 ani)</w:t>
            </w:r>
            <w:r w:rsidR="005331CC" w:rsidRPr="005A56F5">
              <w:rPr>
                <w:b/>
                <w:lang w:val="ro-RO"/>
              </w:rPr>
              <w:t>,</w:t>
            </w:r>
            <w:r w:rsidR="005331CC" w:rsidRPr="005A56F5">
              <w:rPr>
                <w:lang w:val="ro-RO"/>
              </w:rPr>
              <w:t xml:space="preserve"> </w:t>
            </w:r>
            <w:r w:rsidR="005331CC" w:rsidRPr="005A56F5">
              <w:rPr>
                <w:b/>
                <w:lang w:val="ro-RO"/>
              </w:rPr>
              <w:t>inclusiv informații cu privire la cheltuieli și venituri</w:t>
            </w:r>
          </w:p>
        </w:tc>
      </w:tr>
      <w:tr w:rsidR="00241CBB" w:rsidRPr="005A56F5" w:rsidTr="0084185D">
        <w:tc>
          <w:tcPr>
            <w:tcW w:w="6521" w:type="dxa"/>
            <w:gridSpan w:val="2"/>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241CBB" w:rsidP="007B2DFB">
            <w:pPr>
              <w:spacing w:line="276" w:lineRule="auto"/>
              <w:jc w:val="both"/>
              <w:rPr>
                <w:lang w:val="ro-RO"/>
              </w:rPr>
            </w:pPr>
            <w:r w:rsidRPr="005A56F5">
              <w:rPr>
                <w:lang w:val="ro-RO"/>
              </w:rPr>
              <w:t>Indicatori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241CBB" w:rsidP="007B2DFB">
            <w:pPr>
              <w:spacing w:line="276" w:lineRule="auto"/>
              <w:ind w:right="-127"/>
              <w:jc w:val="both"/>
              <w:rPr>
                <w:lang w:val="ro-RO"/>
              </w:rPr>
            </w:pPr>
            <w:r w:rsidRPr="005A56F5">
              <w:rPr>
                <w:lang w:val="ro-RO"/>
              </w:rPr>
              <w:t>Anul curent</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241CBB" w:rsidP="007B2DFB">
            <w:pPr>
              <w:spacing w:line="276" w:lineRule="auto"/>
              <w:jc w:val="both"/>
              <w:rPr>
                <w:lang w:val="ro-RO"/>
              </w:rPr>
            </w:pPr>
            <w:r w:rsidRPr="005A56F5">
              <w:rPr>
                <w:lang w:val="ro-RO"/>
              </w:rPr>
              <w:t xml:space="preserve">Următorii </w:t>
            </w:r>
            <w:r w:rsidR="003718F8" w:rsidRPr="005A56F5">
              <w:rPr>
                <w:lang w:val="ro-RO"/>
              </w:rPr>
              <w:t>4</w:t>
            </w:r>
            <w:r w:rsidRPr="005A56F5">
              <w:rPr>
                <w:lang w:val="ro-RO"/>
              </w:rPr>
              <w:t xml:space="preserve"> ani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241CBB" w:rsidP="007B2DFB">
            <w:pPr>
              <w:spacing w:line="276" w:lineRule="auto"/>
              <w:jc w:val="both"/>
              <w:rPr>
                <w:lang w:val="ro-RO"/>
              </w:rPr>
            </w:pPr>
            <w:r w:rsidRPr="005A56F5">
              <w:rPr>
                <w:lang w:val="ro-RO"/>
              </w:rPr>
              <w:t xml:space="preserve">Media pe </w:t>
            </w:r>
            <w:r w:rsidR="003718F8" w:rsidRPr="005A56F5">
              <w:rPr>
                <w:lang w:val="ro-RO"/>
              </w:rPr>
              <w:t>5</w:t>
            </w:r>
            <w:r w:rsidRPr="005A56F5">
              <w:rPr>
                <w:lang w:val="ro-RO"/>
              </w:rPr>
              <w:t xml:space="preserve"> ani </w:t>
            </w:r>
          </w:p>
        </w:tc>
      </w:tr>
      <w:tr w:rsidR="00241CBB" w:rsidRPr="005A56F5" w:rsidTr="0084185D">
        <w:tc>
          <w:tcPr>
            <w:tcW w:w="6521" w:type="dxa"/>
            <w:gridSpan w:val="2"/>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241CBB" w:rsidP="007B2DFB">
            <w:pPr>
              <w:spacing w:line="276" w:lineRule="auto"/>
              <w:jc w:val="both"/>
              <w:rPr>
                <w:lang w:val="ro-RO"/>
              </w:rPr>
            </w:pPr>
            <w:r w:rsidRPr="005A56F5">
              <w:rPr>
                <w:lang w:val="ro-RO"/>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241CBB" w:rsidP="007B2DFB">
            <w:pPr>
              <w:spacing w:line="276" w:lineRule="auto"/>
              <w:jc w:val="both"/>
              <w:rPr>
                <w:lang w:val="ro-RO"/>
              </w:rPr>
            </w:pPr>
            <w:r w:rsidRPr="005A56F5">
              <w:rPr>
                <w:lang w:val="ro-RO"/>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241CBB" w:rsidP="007B2DFB">
            <w:pPr>
              <w:spacing w:line="276" w:lineRule="auto"/>
              <w:jc w:val="both"/>
              <w:rPr>
                <w:lang w:val="ro-RO"/>
              </w:rPr>
            </w:pPr>
            <w:r w:rsidRPr="005A56F5">
              <w:rPr>
                <w:lang w:val="ro-RO"/>
              </w:rPr>
              <w:t>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241CBB" w:rsidP="007B2DFB">
            <w:pPr>
              <w:spacing w:line="276" w:lineRule="auto"/>
              <w:jc w:val="both"/>
              <w:rPr>
                <w:lang w:val="ro-RO"/>
              </w:rPr>
            </w:pPr>
            <w:r w:rsidRPr="005A56F5">
              <w:rPr>
                <w:lang w:val="ro-RO"/>
              </w:rPr>
              <w:t>4</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241CBB" w:rsidP="007B2DFB">
            <w:pPr>
              <w:spacing w:line="276" w:lineRule="auto"/>
              <w:jc w:val="both"/>
              <w:rPr>
                <w:lang w:val="ro-RO"/>
              </w:rPr>
            </w:pPr>
            <w:r w:rsidRPr="005A56F5">
              <w:rPr>
                <w:lang w:val="ro-RO"/>
              </w:rPr>
              <w:t>5</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241CBB" w:rsidP="007B2DFB">
            <w:pPr>
              <w:spacing w:line="276" w:lineRule="auto"/>
              <w:jc w:val="both"/>
              <w:rPr>
                <w:lang w:val="ro-RO"/>
              </w:rPr>
            </w:pPr>
            <w:r w:rsidRPr="005A56F5">
              <w:rPr>
                <w:lang w:val="ro-RO"/>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241CBB" w:rsidP="007B2DFB">
            <w:pPr>
              <w:spacing w:line="276" w:lineRule="auto"/>
              <w:jc w:val="both"/>
              <w:rPr>
                <w:lang w:val="ro-RO"/>
              </w:rPr>
            </w:pPr>
            <w:r w:rsidRPr="005A56F5">
              <w:rPr>
                <w:lang w:val="ro-RO"/>
              </w:rPr>
              <w:t>7</w:t>
            </w:r>
          </w:p>
        </w:tc>
      </w:tr>
      <w:tr w:rsidR="003712CB" w:rsidRPr="005A56F5" w:rsidTr="0084185D">
        <w:tc>
          <w:tcPr>
            <w:tcW w:w="6521" w:type="dxa"/>
            <w:gridSpan w:val="2"/>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241CBB" w:rsidP="007B2DFB">
            <w:pPr>
              <w:numPr>
                <w:ilvl w:val="1"/>
                <w:numId w:val="31"/>
              </w:numPr>
              <w:spacing w:line="276" w:lineRule="auto"/>
              <w:ind w:right="-336"/>
              <w:jc w:val="both"/>
              <w:rPr>
                <w:lang w:val="ro-RO"/>
              </w:rPr>
            </w:pPr>
            <w:r w:rsidRPr="005A56F5">
              <w:rPr>
                <w:lang w:val="ro-RO"/>
              </w:rPr>
              <w:t>Modificări ale veniturilor bugetare, plus/minus, din care:</w:t>
            </w:r>
          </w:p>
          <w:p w:rsidR="00241CBB" w:rsidRPr="005A56F5" w:rsidRDefault="00241CBB" w:rsidP="007B2DFB">
            <w:pPr>
              <w:spacing w:line="276" w:lineRule="auto"/>
              <w:jc w:val="both"/>
              <w:rPr>
                <w:lang w:val="ro-RO"/>
              </w:rPr>
            </w:pPr>
            <w:r w:rsidRPr="005A56F5">
              <w:rPr>
                <w:lang w:val="ro-RO"/>
              </w:rPr>
              <w:t>a)</w:t>
            </w:r>
            <w:r w:rsidRPr="005A56F5">
              <w:rPr>
                <w:vertAlign w:val="superscript"/>
                <w:lang w:val="ro-RO"/>
              </w:rPr>
              <w:t xml:space="preserve"> </w:t>
            </w:r>
            <w:r w:rsidRPr="005A56F5">
              <w:rPr>
                <w:lang w:val="ro-RO"/>
              </w:rPr>
              <w:t>buget de stat, din acesta:</w:t>
            </w:r>
          </w:p>
          <w:p w:rsidR="00241CBB" w:rsidRPr="005A56F5" w:rsidRDefault="00241CBB" w:rsidP="007B2DFB">
            <w:pPr>
              <w:spacing w:line="276" w:lineRule="auto"/>
              <w:jc w:val="both"/>
              <w:rPr>
                <w:lang w:val="ro-RO"/>
              </w:rPr>
            </w:pPr>
            <w:r w:rsidRPr="005A56F5">
              <w:rPr>
                <w:lang w:val="ro-RO"/>
              </w:rPr>
              <w:t>(i) impozit pe profit</w:t>
            </w:r>
          </w:p>
          <w:p w:rsidR="00241CBB" w:rsidRPr="005A56F5" w:rsidRDefault="00241CBB" w:rsidP="007B2DFB">
            <w:pPr>
              <w:spacing w:line="276" w:lineRule="auto"/>
              <w:jc w:val="both"/>
              <w:rPr>
                <w:lang w:val="ro-RO"/>
              </w:rPr>
            </w:pPr>
            <w:r w:rsidRPr="005A56F5">
              <w:rPr>
                <w:lang w:val="ro-RO"/>
              </w:rPr>
              <w:t>(ii) impozit pe venit</w:t>
            </w:r>
          </w:p>
          <w:p w:rsidR="00241CBB" w:rsidRPr="005A56F5" w:rsidRDefault="00241CBB" w:rsidP="007B2DFB">
            <w:pPr>
              <w:spacing w:line="276" w:lineRule="auto"/>
              <w:jc w:val="both"/>
              <w:rPr>
                <w:lang w:val="ro-RO"/>
              </w:rPr>
            </w:pPr>
            <w:r w:rsidRPr="005A56F5">
              <w:rPr>
                <w:lang w:val="ro-RO"/>
              </w:rPr>
              <w:t>b) bugete locale:</w:t>
            </w:r>
          </w:p>
          <w:p w:rsidR="00241CBB" w:rsidRPr="005A56F5" w:rsidRDefault="00241CBB" w:rsidP="007B2DFB">
            <w:pPr>
              <w:spacing w:line="276" w:lineRule="auto"/>
              <w:jc w:val="both"/>
              <w:rPr>
                <w:lang w:val="ro-RO"/>
              </w:rPr>
            </w:pPr>
            <w:r w:rsidRPr="005A56F5">
              <w:rPr>
                <w:lang w:val="ro-RO"/>
              </w:rPr>
              <w:t>(i) impozit pe profit</w:t>
            </w:r>
          </w:p>
          <w:p w:rsidR="00241CBB" w:rsidRPr="005A56F5" w:rsidRDefault="00241CBB" w:rsidP="007B2DFB">
            <w:pPr>
              <w:spacing w:line="276" w:lineRule="auto"/>
              <w:jc w:val="both"/>
              <w:rPr>
                <w:lang w:val="ro-RO"/>
              </w:rPr>
            </w:pPr>
            <w:r w:rsidRPr="005A56F5">
              <w:rPr>
                <w:lang w:val="ro-RO"/>
              </w:rPr>
              <w:t>c) bugetul asigurărilor sociale de stat:</w:t>
            </w:r>
          </w:p>
          <w:p w:rsidR="00241CBB" w:rsidRPr="005A56F5" w:rsidRDefault="00241CBB" w:rsidP="007B2DFB">
            <w:pPr>
              <w:spacing w:line="276" w:lineRule="auto"/>
              <w:jc w:val="both"/>
              <w:rPr>
                <w:lang w:val="ro-RO"/>
              </w:rPr>
            </w:pPr>
            <w:r w:rsidRPr="005A56F5">
              <w:rPr>
                <w:lang w:val="ro-RO"/>
              </w:rPr>
              <w:t>(i) contribuţii de asigurări</w:t>
            </w:r>
          </w:p>
          <w:p w:rsidR="004B2CCB" w:rsidRPr="005A56F5" w:rsidRDefault="004B2CCB" w:rsidP="004B2CCB">
            <w:pPr>
              <w:tabs>
                <w:tab w:val="left" w:pos="567"/>
              </w:tabs>
              <w:rPr>
                <w:lang w:val="ro-RO"/>
              </w:rPr>
            </w:pPr>
            <w:r w:rsidRPr="005A56F5">
              <w:rPr>
                <w:lang w:val="ro-RO"/>
              </w:rPr>
              <w:t>d) alte tipuri de venituri  (se va menționa natura acestora)</w:t>
            </w:r>
          </w:p>
        </w:tc>
        <w:tc>
          <w:tcPr>
            <w:tcW w:w="3685"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241CBB" w:rsidP="007B2DFB">
            <w:pPr>
              <w:spacing w:line="276" w:lineRule="auto"/>
              <w:jc w:val="both"/>
              <w:rPr>
                <w:lang w:val="ro-RO"/>
              </w:rPr>
            </w:pPr>
          </w:p>
          <w:p w:rsidR="00D223D2" w:rsidRPr="005A56F5" w:rsidRDefault="00D223D2" w:rsidP="007B2DFB">
            <w:pPr>
              <w:spacing w:line="276" w:lineRule="auto"/>
              <w:jc w:val="both"/>
              <w:rPr>
                <w:lang w:val="ro-RO"/>
              </w:rPr>
            </w:pPr>
          </w:p>
          <w:p w:rsidR="00D223D2" w:rsidRPr="005A56F5" w:rsidRDefault="00D223D2" w:rsidP="007B2DFB">
            <w:pPr>
              <w:spacing w:line="276" w:lineRule="auto"/>
              <w:jc w:val="both"/>
              <w:rPr>
                <w:lang w:val="ro-RO"/>
              </w:rPr>
            </w:pPr>
          </w:p>
          <w:p w:rsidR="00D223D2" w:rsidRPr="005A56F5" w:rsidRDefault="00D223D2" w:rsidP="007B2DFB">
            <w:pPr>
              <w:spacing w:line="276" w:lineRule="auto"/>
              <w:jc w:val="both"/>
              <w:rPr>
                <w:lang w:val="ro-RO"/>
              </w:rPr>
            </w:pPr>
          </w:p>
          <w:p w:rsidR="00776F9A" w:rsidRPr="005A56F5" w:rsidRDefault="00776F9A" w:rsidP="007B2DFB">
            <w:pPr>
              <w:spacing w:line="276" w:lineRule="auto"/>
              <w:jc w:val="both"/>
              <w:rPr>
                <w:lang w:val="ro-RO"/>
              </w:rPr>
            </w:pPr>
          </w:p>
          <w:p w:rsidR="00241CBB" w:rsidRPr="005A56F5" w:rsidRDefault="00241CBB" w:rsidP="007B2DFB">
            <w:pPr>
              <w:spacing w:line="276" w:lineRule="auto"/>
              <w:jc w:val="both"/>
              <w:rPr>
                <w:lang w:val="ro-RO"/>
              </w:rPr>
            </w:pPr>
          </w:p>
          <w:p w:rsidR="00D223D2" w:rsidRPr="005A56F5" w:rsidRDefault="00D223D2" w:rsidP="007B2DFB">
            <w:pPr>
              <w:spacing w:line="276" w:lineRule="auto"/>
              <w:jc w:val="both"/>
              <w:rPr>
                <w:lang w:val="ro-RO"/>
              </w:rPr>
            </w:pPr>
          </w:p>
          <w:p w:rsidR="00D223D2" w:rsidRPr="005A56F5" w:rsidRDefault="00D223D2" w:rsidP="007B2DFB">
            <w:pPr>
              <w:spacing w:line="276" w:lineRule="auto"/>
              <w:jc w:val="both"/>
              <w:rPr>
                <w:lang w:val="ro-RO"/>
              </w:rPr>
            </w:pPr>
          </w:p>
          <w:p w:rsidR="00D223D2" w:rsidRPr="005A56F5" w:rsidRDefault="00D223D2" w:rsidP="007B2DFB">
            <w:pPr>
              <w:spacing w:line="276" w:lineRule="auto"/>
              <w:jc w:val="both"/>
              <w:rPr>
                <w:lang w:val="ro-RO"/>
              </w:rPr>
            </w:pPr>
          </w:p>
          <w:p w:rsidR="00D223D2" w:rsidRPr="005A56F5" w:rsidRDefault="00D223D2" w:rsidP="007B2DFB">
            <w:pPr>
              <w:spacing w:line="276" w:lineRule="auto"/>
              <w:jc w:val="both"/>
              <w:rPr>
                <w:lang w:val="ro-RO"/>
              </w:rPr>
            </w:pPr>
          </w:p>
          <w:p w:rsidR="00D223D2" w:rsidRPr="005A56F5" w:rsidRDefault="00D223D2" w:rsidP="007B2DFB">
            <w:pPr>
              <w:spacing w:line="276" w:lineRule="auto"/>
              <w:jc w:val="both"/>
              <w:rPr>
                <w:lang w:val="ro-RO"/>
              </w:rPr>
            </w:pPr>
          </w:p>
          <w:p w:rsidR="00D223D2" w:rsidRPr="005A56F5" w:rsidRDefault="00D223D2" w:rsidP="007B2DFB">
            <w:pPr>
              <w:spacing w:line="276" w:lineRule="auto"/>
              <w:jc w:val="both"/>
              <w:rPr>
                <w:lang w:val="ro-RO"/>
              </w:rPr>
            </w:pPr>
          </w:p>
          <w:p w:rsidR="00D223D2" w:rsidRPr="005A56F5" w:rsidRDefault="00D223D2" w:rsidP="007B2DFB">
            <w:pPr>
              <w:spacing w:line="276" w:lineRule="auto"/>
              <w:jc w:val="both"/>
              <w:rPr>
                <w:lang w:val="ro-RO"/>
              </w:rPr>
            </w:pPr>
          </w:p>
          <w:p w:rsidR="00241CBB" w:rsidRPr="005A56F5" w:rsidRDefault="00241CBB" w:rsidP="007B2DFB">
            <w:pPr>
              <w:spacing w:line="276" w:lineRule="auto"/>
              <w:jc w:val="both"/>
              <w:rPr>
                <w:lang w:val="ro-RO"/>
              </w:rPr>
            </w:pPr>
          </w:p>
          <w:p w:rsidR="00D16780" w:rsidRPr="005A56F5" w:rsidRDefault="00D16780" w:rsidP="007B2DFB">
            <w:pPr>
              <w:spacing w:line="276" w:lineRule="auto"/>
              <w:jc w:val="both"/>
              <w:rPr>
                <w:lang w:val="ro-RO"/>
              </w:rPr>
            </w:pPr>
          </w:p>
          <w:p w:rsidR="00D16780" w:rsidRPr="005A56F5" w:rsidRDefault="00D16780" w:rsidP="007B2DFB">
            <w:pPr>
              <w:spacing w:line="276" w:lineRule="auto"/>
              <w:jc w:val="both"/>
              <w:rPr>
                <w:lang w:val="ro-RO"/>
              </w:rPr>
            </w:pPr>
          </w:p>
          <w:p w:rsidR="00D16780" w:rsidRPr="005A56F5" w:rsidRDefault="00D16780" w:rsidP="007B2DFB">
            <w:pPr>
              <w:spacing w:line="276" w:lineRule="auto"/>
              <w:jc w:val="both"/>
              <w:rPr>
                <w:lang w:val="ro-RO"/>
              </w:rPr>
            </w:pPr>
          </w:p>
          <w:p w:rsidR="00D16780" w:rsidRPr="005A56F5" w:rsidRDefault="00D16780" w:rsidP="007B2DFB">
            <w:pPr>
              <w:spacing w:line="276" w:lineRule="auto"/>
              <w:jc w:val="both"/>
              <w:rPr>
                <w:lang w:val="ro-RO"/>
              </w:rPr>
            </w:pPr>
          </w:p>
          <w:p w:rsidR="00D16780" w:rsidRPr="005A56F5" w:rsidRDefault="00D16780" w:rsidP="007B2DFB">
            <w:pPr>
              <w:spacing w:line="276" w:lineRule="auto"/>
              <w:jc w:val="both"/>
              <w:rPr>
                <w:lang w:val="ro-RO"/>
              </w:rPr>
            </w:pPr>
          </w:p>
          <w:p w:rsidR="00D16780" w:rsidRPr="005A56F5" w:rsidRDefault="00D16780" w:rsidP="007B2DFB">
            <w:pPr>
              <w:spacing w:line="276" w:lineRule="auto"/>
              <w:jc w:val="both"/>
              <w:rPr>
                <w:lang w:val="ro-RO"/>
              </w:rPr>
            </w:pPr>
          </w:p>
          <w:p w:rsidR="00D16780" w:rsidRPr="005A56F5" w:rsidRDefault="00D16780" w:rsidP="007B2DFB">
            <w:pPr>
              <w:spacing w:line="276" w:lineRule="auto"/>
              <w:jc w:val="both"/>
              <w:rPr>
                <w:lang w:val="ro-RO"/>
              </w:rPr>
            </w:pPr>
          </w:p>
          <w:p w:rsidR="00D16780" w:rsidRPr="005A56F5" w:rsidRDefault="00D16780" w:rsidP="007B2DFB">
            <w:pPr>
              <w:spacing w:line="276" w:lineRule="auto"/>
              <w:jc w:val="both"/>
              <w:rPr>
                <w:lang w:val="ro-RO"/>
              </w:rPr>
            </w:pPr>
          </w:p>
          <w:p w:rsidR="00D16780" w:rsidRPr="005A56F5" w:rsidRDefault="00D16780" w:rsidP="007B2DFB">
            <w:pPr>
              <w:spacing w:line="276" w:lineRule="auto"/>
              <w:jc w:val="both"/>
              <w:rPr>
                <w:lang w:val="ro-RO"/>
              </w:rPr>
            </w:pPr>
          </w:p>
          <w:p w:rsidR="00D16780" w:rsidRPr="005A56F5" w:rsidRDefault="00D16780" w:rsidP="007B2DFB">
            <w:pPr>
              <w:spacing w:line="276" w:lineRule="auto"/>
              <w:jc w:val="both"/>
              <w:rPr>
                <w:lang w:val="ro-RO"/>
              </w:rPr>
            </w:pPr>
          </w:p>
          <w:p w:rsidR="00D16780" w:rsidRPr="005A56F5" w:rsidRDefault="00D16780" w:rsidP="007B2DFB">
            <w:pPr>
              <w:spacing w:line="276" w:lineRule="auto"/>
              <w:jc w:val="both"/>
              <w:rPr>
                <w:lang w:val="ro-RO"/>
              </w:rPr>
            </w:pPr>
          </w:p>
          <w:p w:rsidR="00D16780" w:rsidRPr="005A56F5" w:rsidRDefault="00D16780" w:rsidP="007B2DFB">
            <w:pPr>
              <w:spacing w:line="276" w:lineRule="auto"/>
              <w:jc w:val="both"/>
              <w:rPr>
                <w:lang w:val="ro-RO"/>
              </w:rPr>
            </w:pPr>
          </w:p>
        </w:tc>
      </w:tr>
      <w:tr w:rsidR="00241CBB" w:rsidRPr="005A56F5" w:rsidTr="0084185D">
        <w:tc>
          <w:tcPr>
            <w:tcW w:w="6521" w:type="dxa"/>
            <w:gridSpan w:val="2"/>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4B2CCB" w:rsidP="007B2DFB">
            <w:pPr>
              <w:spacing w:line="276" w:lineRule="auto"/>
              <w:jc w:val="both"/>
              <w:rPr>
                <w:lang w:val="ro-RO"/>
              </w:rPr>
            </w:pPr>
            <w:r w:rsidRPr="005A56F5">
              <w:rPr>
                <w:lang w:val="ro-RO"/>
              </w:rPr>
              <w:t xml:space="preserve">     </w:t>
            </w:r>
            <w:r w:rsidRPr="005A56F5">
              <w:rPr>
                <w:b/>
                <w:lang w:val="ro-RO"/>
              </w:rPr>
              <w:t>4.2</w:t>
            </w:r>
            <w:r w:rsidR="00241CBB" w:rsidRPr="005A56F5">
              <w:rPr>
                <w:lang w:val="ro-RO"/>
              </w:rPr>
              <w:t xml:space="preserve"> Modificări ale cheltuielilor bugetare, plus/minus, din care:</w:t>
            </w:r>
          </w:p>
          <w:p w:rsidR="00241CBB" w:rsidRPr="005A56F5" w:rsidRDefault="00241CBB" w:rsidP="007B2DFB">
            <w:pPr>
              <w:spacing w:line="276" w:lineRule="auto"/>
              <w:jc w:val="both"/>
              <w:rPr>
                <w:lang w:val="ro-RO"/>
              </w:rPr>
            </w:pPr>
            <w:r w:rsidRPr="005A56F5">
              <w:rPr>
                <w:lang w:val="ro-RO"/>
              </w:rPr>
              <w:lastRenderedPageBreak/>
              <w:t>a)</w:t>
            </w:r>
            <w:r w:rsidRPr="005A56F5">
              <w:rPr>
                <w:vertAlign w:val="superscript"/>
                <w:lang w:val="ro-RO"/>
              </w:rPr>
              <w:t xml:space="preserve"> </w:t>
            </w:r>
            <w:r w:rsidRPr="005A56F5">
              <w:rPr>
                <w:lang w:val="ro-RO"/>
              </w:rPr>
              <w:t>buget de stat, din acesta:</w:t>
            </w:r>
          </w:p>
          <w:p w:rsidR="00241CBB" w:rsidRPr="005A56F5" w:rsidRDefault="00241CBB" w:rsidP="007B2DFB">
            <w:pPr>
              <w:spacing w:line="276" w:lineRule="auto"/>
              <w:jc w:val="both"/>
              <w:rPr>
                <w:lang w:val="ro-RO"/>
              </w:rPr>
            </w:pPr>
            <w:r w:rsidRPr="005A56F5">
              <w:rPr>
                <w:lang w:val="ro-RO"/>
              </w:rPr>
              <w:t>(i) cheltuieli de personal</w:t>
            </w:r>
          </w:p>
          <w:p w:rsidR="00241CBB" w:rsidRPr="005A56F5" w:rsidRDefault="00241CBB" w:rsidP="007B2DFB">
            <w:pPr>
              <w:spacing w:line="276" w:lineRule="auto"/>
              <w:jc w:val="both"/>
              <w:rPr>
                <w:lang w:val="ro-RO"/>
              </w:rPr>
            </w:pPr>
            <w:r w:rsidRPr="005A56F5">
              <w:rPr>
                <w:lang w:val="ro-RO"/>
              </w:rPr>
              <w:t xml:space="preserve">(ii) bunuri şi servicii                              </w:t>
            </w:r>
          </w:p>
          <w:p w:rsidR="00241CBB" w:rsidRPr="005A56F5" w:rsidRDefault="00241CBB" w:rsidP="007B2DFB">
            <w:pPr>
              <w:spacing w:line="276" w:lineRule="auto"/>
              <w:jc w:val="both"/>
              <w:rPr>
                <w:lang w:val="ro-RO"/>
              </w:rPr>
            </w:pPr>
            <w:r w:rsidRPr="005A56F5">
              <w:rPr>
                <w:lang w:val="ro-RO"/>
              </w:rPr>
              <w:t>b) bugete locale:</w:t>
            </w:r>
          </w:p>
          <w:p w:rsidR="00241CBB" w:rsidRPr="005A56F5" w:rsidRDefault="00241CBB" w:rsidP="007B2DFB">
            <w:pPr>
              <w:spacing w:line="276" w:lineRule="auto"/>
              <w:jc w:val="both"/>
              <w:rPr>
                <w:lang w:val="ro-RO"/>
              </w:rPr>
            </w:pPr>
            <w:r w:rsidRPr="005A56F5">
              <w:rPr>
                <w:lang w:val="ro-RO"/>
              </w:rPr>
              <w:t>(i) cheltuieli de personal</w:t>
            </w:r>
          </w:p>
          <w:p w:rsidR="00241CBB" w:rsidRPr="005A56F5" w:rsidRDefault="00241CBB" w:rsidP="007B2DFB">
            <w:pPr>
              <w:spacing w:line="276" w:lineRule="auto"/>
              <w:jc w:val="both"/>
              <w:rPr>
                <w:lang w:val="ro-RO"/>
              </w:rPr>
            </w:pPr>
            <w:r w:rsidRPr="005A56F5">
              <w:rPr>
                <w:lang w:val="ro-RO"/>
              </w:rPr>
              <w:t xml:space="preserve">(ii) bunuri şi servicii    </w:t>
            </w:r>
          </w:p>
          <w:p w:rsidR="00241CBB" w:rsidRPr="005A56F5" w:rsidRDefault="00241CBB" w:rsidP="007B2DFB">
            <w:pPr>
              <w:spacing w:line="276" w:lineRule="auto"/>
              <w:jc w:val="both"/>
              <w:rPr>
                <w:lang w:val="ro-RO"/>
              </w:rPr>
            </w:pPr>
            <w:r w:rsidRPr="005A56F5">
              <w:rPr>
                <w:lang w:val="ro-RO"/>
              </w:rPr>
              <w:t xml:space="preserve">c) bugetul asigurărilor sociale de stat:                        </w:t>
            </w:r>
          </w:p>
          <w:p w:rsidR="00241CBB" w:rsidRPr="005A56F5" w:rsidRDefault="00241CBB" w:rsidP="007B2DFB">
            <w:pPr>
              <w:spacing w:line="276" w:lineRule="auto"/>
              <w:jc w:val="both"/>
              <w:rPr>
                <w:lang w:val="ro-RO"/>
              </w:rPr>
            </w:pPr>
            <w:r w:rsidRPr="005A56F5">
              <w:rPr>
                <w:lang w:val="ro-RO"/>
              </w:rPr>
              <w:t>(i) cheltuieli de personal</w:t>
            </w:r>
          </w:p>
          <w:p w:rsidR="00241CBB" w:rsidRPr="005A56F5" w:rsidRDefault="00241CBB" w:rsidP="007B2DFB">
            <w:pPr>
              <w:spacing w:line="276" w:lineRule="auto"/>
              <w:jc w:val="both"/>
              <w:rPr>
                <w:lang w:val="ro-RO"/>
              </w:rPr>
            </w:pPr>
            <w:r w:rsidRPr="005A56F5">
              <w:rPr>
                <w:lang w:val="ro-RO"/>
              </w:rPr>
              <w:t xml:space="preserve">(ii) bunuri şi servicii  </w:t>
            </w:r>
          </w:p>
          <w:p w:rsidR="004B2CCB" w:rsidRPr="005A56F5" w:rsidRDefault="004B2CCB" w:rsidP="004B2CCB">
            <w:pPr>
              <w:tabs>
                <w:tab w:val="left" w:pos="567"/>
              </w:tabs>
              <w:rPr>
                <w:lang w:val="ro-RO"/>
              </w:rPr>
            </w:pPr>
            <w:r w:rsidRPr="005A56F5">
              <w:rPr>
                <w:lang w:val="ro-RO"/>
              </w:rPr>
              <w:t>d) alte tipuri de cheltuieli (se va menționa natura acestora)</w:t>
            </w:r>
          </w:p>
        </w:tc>
        <w:tc>
          <w:tcPr>
            <w:tcW w:w="368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241CBB" w:rsidRPr="005A56F5" w:rsidRDefault="00241CBB" w:rsidP="007B2DFB">
            <w:pPr>
              <w:spacing w:line="276" w:lineRule="auto"/>
              <w:jc w:val="both"/>
              <w:rPr>
                <w:lang w:val="ro-RO"/>
              </w:rPr>
            </w:pPr>
          </w:p>
        </w:tc>
      </w:tr>
      <w:tr w:rsidR="00241CBB" w:rsidRPr="005A56F5" w:rsidTr="0084185D">
        <w:tc>
          <w:tcPr>
            <w:tcW w:w="6521" w:type="dxa"/>
            <w:gridSpan w:val="2"/>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E06792" w:rsidP="007B2DFB">
            <w:pPr>
              <w:spacing w:line="276" w:lineRule="auto"/>
              <w:ind w:right="-336"/>
              <w:jc w:val="both"/>
              <w:rPr>
                <w:lang w:val="ro-RO"/>
              </w:rPr>
            </w:pPr>
            <w:r w:rsidRPr="005A56F5">
              <w:rPr>
                <w:b/>
                <w:bCs/>
                <w:lang w:val="ro-RO"/>
              </w:rPr>
              <w:t>4.3</w:t>
            </w:r>
            <w:r w:rsidR="00241CBB" w:rsidRPr="005A56F5">
              <w:rPr>
                <w:bCs/>
                <w:lang w:val="ro-RO"/>
              </w:rPr>
              <w:t xml:space="preserve"> </w:t>
            </w:r>
            <w:r w:rsidR="00241CBB" w:rsidRPr="005A56F5">
              <w:rPr>
                <w:lang w:val="ro-RO"/>
              </w:rPr>
              <w:t>Impact financiar, plus/minus, din care:</w:t>
            </w:r>
          </w:p>
          <w:p w:rsidR="00241CBB" w:rsidRPr="005A56F5" w:rsidRDefault="00241CBB" w:rsidP="007B2DFB">
            <w:pPr>
              <w:spacing w:line="276" w:lineRule="auto"/>
              <w:jc w:val="both"/>
              <w:rPr>
                <w:lang w:val="ro-RO"/>
              </w:rPr>
            </w:pPr>
            <w:r w:rsidRPr="005A56F5">
              <w:rPr>
                <w:lang w:val="ro-RO"/>
              </w:rPr>
              <w:t>a)</w:t>
            </w:r>
            <w:r w:rsidRPr="005A56F5">
              <w:rPr>
                <w:vertAlign w:val="superscript"/>
                <w:lang w:val="ro-RO"/>
              </w:rPr>
              <w:t xml:space="preserve"> </w:t>
            </w:r>
            <w:r w:rsidRPr="005A56F5">
              <w:rPr>
                <w:lang w:val="ro-RO"/>
              </w:rPr>
              <w:t>buget de stat</w:t>
            </w:r>
          </w:p>
          <w:p w:rsidR="00241CBB" w:rsidRPr="005A56F5" w:rsidRDefault="00241CBB" w:rsidP="007B2DFB">
            <w:pPr>
              <w:spacing w:line="276" w:lineRule="auto"/>
              <w:jc w:val="both"/>
              <w:rPr>
                <w:bCs/>
                <w:lang w:val="ro-RO"/>
              </w:rPr>
            </w:pPr>
            <w:r w:rsidRPr="005A56F5">
              <w:rPr>
                <w:lang w:val="ro-RO"/>
              </w:rPr>
              <w:t>b) bugete locale</w:t>
            </w:r>
          </w:p>
        </w:tc>
        <w:tc>
          <w:tcPr>
            <w:tcW w:w="368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241CBB" w:rsidRPr="005A56F5" w:rsidRDefault="00241CBB" w:rsidP="007B2DFB">
            <w:pPr>
              <w:spacing w:line="276" w:lineRule="auto"/>
              <w:jc w:val="both"/>
              <w:rPr>
                <w:lang w:val="ro-RO"/>
              </w:rPr>
            </w:pPr>
          </w:p>
        </w:tc>
      </w:tr>
      <w:tr w:rsidR="00241CBB" w:rsidRPr="005A56F5" w:rsidTr="0084185D">
        <w:tc>
          <w:tcPr>
            <w:tcW w:w="6521" w:type="dxa"/>
            <w:gridSpan w:val="2"/>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8B461E" w:rsidP="008B461E">
            <w:pPr>
              <w:spacing w:line="276" w:lineRule="auto"/>
              <w:jc w:val="both"/>
              <w:rPr>
                <w:bCs/>
                <w:lang w:val="ro-RO"/>
              </w:rPr>
            </w:pPr>
            <w:r w:rsidRPr="005A56F5">
              <w:rPr>
                <w:b/>
                <w:bCs/>
                <w:lang w:val="ro-RO"/>
              </w:rPr>
              <w:t>4.</w:t>
            </w:r>
            <w:r w:rsidR="00241CBB" w:rsidRPr="005A56F5">
              <w:rPr>
                <w:b/>
                <w:bCs/>
                <w:lang w:val="ro-RO"/>
              </w:rPr>
              <w:t>4</w:t>
            </w:r>
            <w:r w:rsidR="00241CBB" w:rsidRPr="005A56F5">
              <w:rPr>
                <w:lang w:val="ro-RO"/>
              </w:rPr>
              <w:t xml:space="preserve"> Propuneri pentru acoperirea creşterii cheltuielilor bugetare</w:t>
            </w:r>
          </w:p>
        </w:tc>
        <w:tc>
          <w:tcPr>
            <w:tcW w:w="368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241CBB" w:rsidRPr="005A56F5" w:rsidRDefault="00241CBB" w:rsidP="007B2DFB">
            <w:pPr>
              <w:spacing w:line="276" w:lineRule="auto"/>
              <w:jc w:val="both"/>
              <w:rPr>
                <w:lang w:val="ro-RO"/>
              </w:rPr>
            </w:pPr>
          </w:p>
        </w:tc>
      </w:tr>
      <w:tr w:rsidR="00241CBB" w:rsidRPr="005A56F5" w:rsidTr="0084185D">
        <w:tc>
          <w:tcPr>
            <w:tcW w:w="6521" w:type="dxa"/>
            <w:gridSpan w:val="2"/>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8B461E" w:rsidP="007B2DFB">
            <w:pPr>
              <w:spacing w:line="276" w:lineRule="auto"/>
              <w:jc w:val="both"/>
              <w:rPr>
                <w:lang w:val="ro-RO"/>
              </w:rPr>
            </w:pPr>
            <w:r w:rsidRPr="005A56F5">
              <w:rPr>
                <w:b/>
                <w:lang w:val="ro-RO"/>
              </w:rPr>
              <w:t>4.5</w:t>
            </w:r>
            <w:r w:rsidR="00241CBB" w:rsidRPr="005A56F5">
              <w:rPr>
                <w:lang w:val="ro-RO"/>
              </w:rPr>
              <w:t xml:space="preserve"> Propuneri pentru a compensa reducerea veniturilor bugetare</w:t>
            </w:r>
          </w:p>
        </w:tc>
        <w:tc>
          <w:tcPr>
            <w:tcW w:w="368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241CBB" w:rsidRPr="005A56F5" w:rsidRDefault="00241CBB" w:rsidP="007B2DFB">
            <w:pPr>
              <w:spacing w:line="276" w:lineRule="auto"/>
              <w:jc w:val="both"/>
              <w:rPr>
                <w:lang w:val="ro-RO"/>
              </w:rPr>
            </w:pPr>
          </w:p>
        </w:tc>
      </w:tr>
      <w:tr w:rsidR="00241CBB" w:rsidRPr="005A56F5" w:rsidTr="0084185D">
        <w:tc>
          <w:tcPr>
            <w:tcW w:w="6521" w:type="dxa"/>
            <w:gridSpan w:val="2"/>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8B461E" w:rsidP="007B2DFB">
            <w:pPr>
              <w:spacing w:line="276" w:lineRule="auto"/>
              <w:jc w:val="both"/>
              <w:rPr>
                <w:lang w:val="ro-RO"/>
              </w:rPr>
            </w:pPr>
            <w:r w:rsidRPr="005A56F5">
              <w:rPr>
                <w:b/>
                <w:lang w:val="ro-RO"/>
              </w:rPr>
              <w:t>4.6</w:t>
            </w:r>
            <w:r w:rsidR="00241CBB" w:rsidRPr="005A56F5">
              <w:rPr>
                <w:lang w:val="ro-RO"/>
              </w:rPr>
              <w:t xml:space="preserve"> Calcule detaliate privind fundamentarea modificărilor veniturilor şi/sau cheltuielilor bugetare</w:t>
            </w:r>
          </w:p>
        </w:tc>
        <w:tc>
          <w:tcPr>
            <w:tcW w:w="368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241CBB" w:rsidRPr="005A56F5" w:rsidRDefault="00241CBB" w:rsidP="007B2DFB">
            <w:pPr>
              <w:spacing w:line="276" w:lineRule="auto"/>
              <w:jc w:val="both"/>
              <w:rPr>
                <w:lang w:val="ro-RO"/>
              </w:rPr>
            </w:pPr>
          </w:p>
        </w:tc>
      </w:tr>
      <w:tr w:rsidR="00441E1F"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AA76F9" w:rsidRPr="005A56F5" w:rsidRDefault="00AA76F9" w:rsidP="00AA76F9">
            <w:pPr>
              <w:autoSpaceDE w:val="0"/>
              <w:autoSpaceDN w:val="0"/>
              <w:adjustRightInd w:val="0"/>
              <w:jc w:val="both"/>
              <w:rPr>
                <w:lang w:val="ro-RO"/>
              </w:rPr>
            </w:pPr>
            <w:r w:rsidRPr="005A56F5">
              <w:rPr>
                <w:b/>
                <w:lang w:val="ro-RO"/>
              </w:rPr>
              <w:t>4.7</w:t>
            </w:r>
            <w:r w:rsidRPr="005A56F5">
              <w:rPr>
                <w:lang w:val="ro-RO"/>
              </w:rPr>
              <w:t xml:space="preserve"> Prezentarea, în cazul proiectelor de acte normative a căror adoptare atrage majorarea cheltuielilor bugetare, a următoarelor documente:</w:t>
            </w:r>
          </w:p>
          <w:p w:rsidR="006118F1" w:rsidRPr="005A56F5" w:rsidRDefault="00AA76F9" w:rsidP="006118F1">
            <w:pPr>
              <w:numPr>
                <w:ilvl w:val="0"/>
                <w:numId w:val="32"/>
              </w:numPr>
              <w:autoSpaceDE w:val="0"/>
              <w:autoSpaceDN w:val="0"/>
              <w:adjustRightInd w:val="0"/>
              <w:jc w:val="both"/>
              <w:rPr>
                <w:lang w:val="ro-RO"/>
              </w:rPr>
            </w:pPr>
            <w:r w:rsidRPr="005A56F5">
              <w:rPr>
                <w:lang w:val="ro-RO"/>
              </w:rPr>
              <w:t>fișa financiară prevăzută la art.15 din Legea nr. 500/2002 privind finanțele publice, cu modificările şi completările ulterioare, însoțită de ipotezele și metodologia de calcul utilizată;</w:t>
            </w:r>
          </w:p>
          <w:p w:rsidR="006E7B26" w:rsidRPr="005A56F5" w:rsidRDefault="00AA76F9" w:rsidP="006118F1">
            <w:pPr>
              <w:numPr>
                <w:ilvl w:val="0"/>
                <w:numId w:val="32"/>
              </w:numPr>
              <w:autoSpaceDE w:val="0"/>
              <w:autoSpaceDN w:val="0"/>
              <w:adjustRightInd w:val="0"/>
              <w:jc w:val="both"/>
              <w:rPr>
                <w:lang w:val="ro-RO"/>
              </w:rPr>
            </w:pPr>
            <w:r w:rsidRPr="005A56F5">
              <w:rPr>
                <w:lang w:val="ro-RO"/>
              </w:rPr>
              <w:t>declarație conform căreia majorarea de cheltuială respectivă este compatibilă cu obiectivele şi prioritățile strategice specificate în strategia fiscal-bugetară, cu legea bugetară anuală şi cu plafoanele de cheltuieli prezentate în strategia fiscal-bugetară.</w:t>
            </w:r>
            <w:r w:rsidR="00AD731D" w:rsidRPr="005A56F5">
              <w:rPr>
                <w:color w:val="FF0000"/>
                <w:lang w:val="ro-RO"/>
              </w:rPr>
              <w:t xml:space="preserve">  </w:t>
            </w:r>
          </w:p>
        </w:tc>
      </w:tr>
      <w:tr w:rsidR="006118F1"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6118F1" w:rsidRDefault="006118F1" w:rsidP="00AA76F9">
            <w:pPr>
              <w:autoSpaceDE w:val="0"/>
              <w:autoSpaceDN w:val="0"/>
              <w:adjustRightInd w:val="0"/>
              <w:jc w:val="both"/>
              <w:rPr>
                <w:lang w:val="ro-RO"/>
              </w:rPr>
            </w:pPr>
            <w:r w:rsidRPr="005A56F5">
              <w:rPr>
                <w:b/>
                <w:lang w:val="ro-RO"/>
              </w:rPr>
              <w:t>4.8</w:t>
            </w:r>
            <w:r w:rsidRPr="005A56F5">
              <w:rPr>
                <w:lang w:val="ro-RO"/>
              </w:rPr>
              <w:t xml:space="preserve"> Alte informații</w:t>
            </w:r>
          </w:p>
          <w:p w:rsidR="00A70D77" w:rsidRDefault="00F27AC9" w:rsidP="00A70D77">
            <w:pPr>
              <w:tabs>
                <w:tab w:val="left" w:pos="3960"/>
              </w:tabs>
              <w:jc w:val="both"/>
              <w:rPr>
                <w:rFonts w:eastAsia="Batang"/>
                <w:color w:val="000000"/>
                <w:lang w:eastAsia="ko-KR"/>
              </w:rPr>
            </w:pPr>
            <w:r w:rsidRPr="00640B1B">
              <w:rPr>
                <w:rFonts w:eastAsia="Batang"/>
                <w:lang w:eastAsia="ko-KR"/>
              </w:rPr>
              <w:t xml:space="preserve">   </w:t>
            </w:r>
            <w:r w:rsidR="005C0B30">
              <w:rPr>
                <w:rFonts w:eastAsia="Batang"/>
                <w:lang w:eastAsia="ko-KR"/>
              </w:rPr>
              <w:t xml:space="preserve">   </w:t>
            </w:r>
            <w:r w:rsidR="00A70D77" w:rsidRPr="001A70B6">
              <w:rPr>
                <w:rFonts w:eastAsia="Batang"/>
                <w:color w:val="000000"/>
                <w:lang w:eastAsia="ko-KR"/>
              </w:rPr>
              <w:t xml:space="preserve">Casa Națională de Pensii Publice gestionează situația pensionarilor care au venituri din pensii până la </w:t>
            </w:r>
            <w:r w:rsidR="00A70D77">
              <w:rPr>
                <w:rFonts w:eastAsia="Batang"/>
                <w:color w:val="000000"/>
                <w:lang w:eastAsia="ko-KR"/>
              </w:rPr>
              <w:t>2</w:t>
            </w:r>
            <w:r w:rsidR="00A70D77" w:rsidRPr="001A70B6">
              <w:rPr>
                <w:rFonts w:eastAsia="Batang"/>
                <w:color w:val="000000"/>
                <w:lang w:eastAsia="ko-KR"/>
              </w:rPr>
              <w:t>.</w:t>
            </w:r>
            <w:r w:rsidR="00A70D77">
              <w:rPr>
                <w:rFonts w:eastAsia="Batang"/>
                <w:color w:val="000000"/>
                <w:lang w:eastAsia="ko-KR"/>
              </w:rPr>
              <w:t>020</w:t>
            </w:r>
            <w:r w:rsidR="00A70D77" w:rsidRPr="001A70B6">
              <w:rPr>
                <w:rFonts w:eastAsia="Batang"/>
                <w:color w:val="000000"/>
                <w:lang w:eastAsia="ko-KR"/>
              </w:rPr>
              <w:t xml:space="preserve"> lei/lună, inclusiv, la data de 31</w:t>
            </w:r>
            <w:r w:rsidR="00A70D77">
              <w:rPr>
                <w:rFonts w:eastAsia="Batang"/>
                <w:color w:val="000000"/>
                <w:lang w:eastAsia="ko-KR"/>
              </w:rPr>
              <w:t>.12.</w:t>
            </w:r>
            <w:r w:rsidR="00A70D77" w:rsidRPr="001A70B6">
              <w:rPr>
                <w:rFonts w:eastAsia="Batang"/>
                <w:color w:val="000000"/>
                <w:lang w:eastAsia="ko-KR"/>
              </w:rPr>
              <w:t>202</w:t>
            </w:r>
            <w:r w:rsidR="00A70D77">
              <w:rPr>
                <w:rFonts w:eastAsia="Batang"/>
                <w:color w:val="000000"/>
                <w:lang w:eastAsia="ko-KR"/>
              </w:rPr>
              <w:t>4</w:t>
            </w:r>
            <w:r w:rsidR="00A70D77" w:rsidRPr="001A70B6">
              <w:rPr>
                <w:rFonts w:eastAsia="Batang"/>
                <w:color w:val="000000"/>
                <w:lang w:eastAsia="ko-KR"/>
              </w:rPr>
              <w:t xml:space="preserve">, respectiv numărul pensionarilor cu venituri estimate din pensii calculate potrivit noii valori a punctului de </w:t>
            </w:r>
            <w:r w:rsidR="00A70D77">
              <w:rPr>
                <w:rFonts w:eastAsia="Batang"/>
                <w:color w:val="000000"/>
                <w:lang w:eastAsia="ko-KR"/>
              </w:rPr>
              <w:t>referință</w:t>
            </w:r>
            <w:r w:rsidR="00A70D77" w:rsidRPr="001A70B6">
              <w:rPr>
                <w:rFonts w:eastAsia="Batang"/>
                <w:color w:val="000000"/>
                <w:lang w:eastAsia="ko-KR"/>
              </w:rPr>
              <w:t xml:space="preserve"> începând cu data de 1 ianuarie 202</w:t>
            </w:r>
            <w:r w:rsidR="00A70D77">
              <w:rPr>
                <w:rFonts w:eastAsia="Batang"/>
                <w:color w:val="000000"/>
                <w:lang w:eastAsia="ko-KR"/>
              </w:rPr>
              <w:t>5</w:t>
            </w:r>
            <w:r w:rsidR="00A70D77" w:rsidRPr="001A70B6">
              <w:rPr>
                <w:rFonts w:eastAsia="Batang"/>
                <w:color w:val="000000"/>
                <w:lang w:eastAsia="ko-KR"/>
              </w:rPr>
              <w:t xml:space="preserve"> și astfel beneficiari ai Programul pentru compensarea cu 90% a preţului de referinţă al medicamentelor.</w:t>
            </w:r>
          </w:p>
          <w:p w:rsidR="00A70D77" w:rsidRPr="005C0B30" w:rsidRDefault="00A70D77" w:rsidP="00A70D77">
            <w:pPr>
              <w:tabs>
                <w:tab w:val="left" w:pos="3960"/>
              </w:tabs>
              <w:jc w:val="both"/>
              <w:rPr>
                <w:rFonts w:eastAsia="Batang"/>
                <w:lang w:eastAsia="ko-KR"/>
              </w:rPr>
            </w:pPr>
            <w:r w:rsidRPr="00640B1B">
              <w:rPr>
                <w:rFonts w:eastAsia="Batang"/>
                <w:lang w:eastAsia="ko-KR"/>
              </w:rPr>
              <w:t xml:space="preserve">   </w:t>
            </w:r>
            <w:r>
              <w:rPr>
                <w:rFonts w:eastAsia="Batang"/>
                <w:lang w:eastAsia="ko-KR"/>
              </w:rPr>
              <w:t xml:space="preserve">   </w:t>
            </w:r>
            <w:r w:rsidRPr="005C0B30">
              <w:rPr>
                <w:rFonts w:eastAsia="Batang"/>
                <w:lang w:eastAsia="ko-KR"/>
              </w:rPr>
              <w:t xml:space="preserve">Potrivit informațiilor furnizate de Casa Națională de Pensii Publice, numărul pensionarilor care au venituri din pensii până la </w:t>
            </w:r>
            <w:r>
              <w:rPr>
                <w:rFonts w:eastAsia="Batang"/>
                <w:lang w:eastAsia="ko-KR"/>
              </w:rPr>
              <w:t>2</w:t>
            </w:r>
            <w:r w:rsidRPr="005C0B30">
              <w:rPr>
                <w:rFonts w:eastAsia="Batang"/>
                <w:lang w:eastAsia="ko-KR"/>
              </w:rPr>
              <w:t>.</w:t>
            </w:r>
            <w:r>
              <w:rPr>
                <w:rFonts w:eastAsia="Batang"/>
                <w:lang w:eastAsia="ko-KR"/>
              </w:rPr>
              <w:t>020</w:t>
            </w:r>
            <w:r w:rsidRPr="005C0B30">
              <w:rPr>
                <w:rFonts w:eastAsia="Batang"/>
                <w:lang w:eastAsia="ko-KR"/>
              </w:rPr>
              <w:t xml:space="preserve"> lei/lună, inclusiv, la data de 31.12.202</w:t>
            </w:r>
            <w:r>
              <w:rPr>
                <w:rFonts w:eastAsia="Batang"/>
                <w:lang w:eastAsia="ko-KR"/>
              </w:rPr>
              <w:t>4</w:t>
            </w:r>
            <w:r w:rsidRPr="005C0B30">
              <w:rPr>
                <w:rFonts w:eastAsia="Batang"/>
                <w:lang w:eastAsia="ko-KR"/>
              </w:rPr>
              <w:t xml:space="preserve"> este de </w:t>
            </w:r>
            <w:r>
              <w:rPr>
                <w:rFonts w:eastAsia="Batang"/>
                <w:lang w:eastAsia="ko-KR"/>
              </w:rPr>
              <w:t>1.906.283.</w:t>
            </w:r>
          </w:p>
          <w:p w:rsidR="00F27AC9" w:rsidRPr="005C0B30" w:rsidRDefault="00A70D77" w:rsidP="002C1A7C">
            <w:pPr>
              <w:tabs>
                <w:tab w:val="left" w:pos="3960"/>
              </w:tabs>
              <w:jc w:val="both"/>
              <w:rPr>
                <w:rFonts w:eastAsia="Batang"/>
                <w:lang w:eastAsia="ko-KR"/>
              </w:rPr>
            </w:pPr>
            <w:r w:rsidRPr="005C0B30">
              <w:rPr>
                <w:rFonts w:eastAsia="Batang"/>
                <w:lang w:eastAsia="ko-KR"/>
              </w:rPr>
              <w:t xml:space="preserve">     Totodată, numărul pensionarilor cu venituri estimate din pensii calculate potrivit noii valori a punctului de </w:t>
            </w:r>
            <w:r>
              <w:rPr>
                <w:rFonts w:eastAsia="Batang"/>
                <w:lang w:eastAsia="ko-KR"/>
              </w:rPr>
              <w:t>referință</w:t>
            </w:r>
            <w:r w:rsidRPr="005C0B30">
              <w:rPr>
                <w:rFonts w:eastAsia="Batang"/>
                <w:lang w:eastAsia="ko-KR"/>
              </w:rPr>
              <w:t xml:space="preserve"> începând cu data de 1 ianuarie 202</w:t>
            </w:r>
            <w:r>
              <w:rPr>
                <w:rFonts w:eastAsia="Batang"/>
                <w:lang w:eastAsia="ko-KR"/>
              </w:rPr>
              <w:t>5</w:t>
            </w:r>
            <w:r w:rsidRPr="005C0B30">
              <w:rPr>
                <w:rFonts w:eastAsia="Batang"/>
                <w:lang w:eastAsia="ko-KR"/>
              </w:rPr>
              <w:t xml:space="preserve"> este de </w:t>
            </w:r>
            <w:r>
              <w:rPr>
                <w:rFonts w:eastAsia="Batang"/>
                <w:lang w:eastAsia="ko-KR"/>
              </w:rPr>
              <w:t>1.905.068</w:t>
            </w:r>
            <w:r w:rsidRPr="005C0B30">
              <w:rPr>
                <w:rFonts w:eastAsia="Batang"/>
                <w:lang w:eastAsia="ko-KR"/>
              </w:rPr>
              <w:t>, constantându-se astfel o menținere a numărului estimat de potențiali beneficiari ai Programului pentru compensarea cu 90% a preţului de referinţă al medicamentelor.</w:t>
            </w:r>
            <w:r w:rsidR="006E05F1" w:rsidRPr="00A32572">
              <w:rPr>
                <w:rFonts w:eastAsia="Batang"/>
                <w:strike/>
                <w:lang w:eastAsia="ko-KR"/>
              </w:rPr>
              <w:t xml:space="preserve">   </w:t>
            </w:r>
          </w:p>
        </w:tc>
      </w:tr>
      <w:tr w:rsidR="00492513"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241CBB" w:rsidP="000D3ABB">
            <w:pPr>
              <w:spacing w:line="276" w:lineRule="auto"/>
              <w:jc w:val="center"/>
              <w:rPr>
                <w:b/>
                <w:lang w:val="ro-RO"/>
              </w:rPr>
            </w:pPr>
            <w:r w:rsidRPr="005A56F5">
              <w:rPr>
                <w:b/>
                <w:lang w:val="ro-RO"/>
              </w:rPr>
              <w:t>Secţiunea a 5-a</w:t>
            </w:r>
          </w:p>
          <w:p w:rsidR="003C1B86" w:rsidRPr="005A56F5" w:rsidRDefault="000D3ABB" w:rsidP="005C0B30">
            <w:pPr>
              <w:jc w:val="center"/>
              <w:rPr>
                <w:b/>
                <w:lang w:val="ro-RO"/>
              </w:rPr>
            </w:pPr>
            <w:r w:rsidRPr="005A56F5">
              <w:rPr>
                <w:b/>
                <w:lang w:val="ro-RO"/>
              </w:rPr>
              <w:t>Efectele proiectului de act normativ asupra legislației în vigoare</w:t>
            </w:r>
          </w:p>
        </w:tc>
      </w:tr>
      <w:tr w:rsidR="00441E1F"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6E7B26" w:rsidRDefault="00ED3C55" w:rsidP="00ED3C55">
            <w:pPr>
              <w:jc w:val="both"/>
              <w:rPr>
                <w:lang w:val="ro-RO"/>
              </w:rPr>
            </w:pPr>
            <w:r w:rsidRPr="005A56F5">
              <w:rPr>
                <w:b/>
                <w:lang w:val="ro-RO"/>
              </w:rPr>
              <w:t>5.1</w:t>
            </w:r>
            <w:r w:rsidRPr="005A56F5">
              <w:rPr>
                <w:lang w:val="ro-RO"/>
              </w:rPr>
              <w:t xml:space="preserve"> Măsuri normative necesare pentru aplicarea prevederilor proiectului de act normativ</w:t>
            </w:r>
          </w:p>
          <w:p w:rsidR="00610B5F" w:rsidRPr="00610B5F" w:rsidRDefault="00610B5F" w:rsidP="00ED3C55">
            <w:pPr>
              <w:jc w:val="both"/>
              <w:rPr>
                <w:lang w:val="ro-RO"/>
              </w:rPr>
            </w:pPr>
            <w:r>
              <w:rPr>
                <w:b/>
                <w:bCs/>
              </w:rPr>
              <w:t xml:space="preserve">     </w:t>
            </w:r>
            <w:r w:rsidRPr="00610B5F">
              <w:rPr>
                <w:bCs/>
              </w:rPr>
              <w:t>Acte normative în vigoare ce vor fi modificate ca urmare a intrării în vigoare a proiectului de act normative:</w:t>
            </w:r>
          </w:p>
          <w:p w:rsidR="00610B5F" w:rsidRPr="00206989" w:rsidRDefault="00610B5F" w:rsidP="00610B5F">
            <w:pPr>
              <w:tabs>
                <w:tab w:val="left" w:pos="3960"/>
              </w:tabs>
              <w:autoSpaceDE w:val="0"/>
              <w:autoSpaceDN w:val="0"/>
              <w:adjustRightInd w:val="0"/>
              <w:jc w:val="both"/>
            </w:pPr>
            <w:r w:rsidRPr="00206989">
              <w:t xml:space="preserve">- Normele tehnice de realizare a Programului pentru compensarea cu 90% a preţului de referinţă al medicamentelor pentru pensionarii care realizează venituri din pensii şi indemnizaţie socială pentru pensionari, aprobate prin Ordinul ministrului sănătăţii şi al preşedintelui Casei Naţionale de Asigurări de Sănătate nr. 726/507/2017, cu modificările ulterioare; </w:t>
            </w:r>
          </w:p>
          <w:p w:rsidR="00610B5F" w:rsidRPr="00D74B6C" w:rsidRDefault="00610B5F" w:rsidP="00CE20E1">
            <w:pPr>
              <w:tabs>
                <w:tab w:val="left" w:pos="3960"/>
              </w:tabs>
              <w:autoSpaceDE w:val="0"/>
              <w:autoSpaceDN w:val="0"/>
              <w:adjustRightInd w:val="0"/>
              <w:jc w:val="both"/>
            </w:pPr>
            <w:r w:rsidRPr="00206989">
              <w:t xml:space="preserve">- </w:t>
            </w:r>
            <w:r w:rsidRPr="00D74B6C">
              <w:t>Normele metodologice de aplicare</w:t>
            </w:r>
            <w:r w:rsidR="00CE20E1">
              <w:t xml:space="preserve"> a Hotărârii Guvernului nr. 521/2023 pentru aprobarea pachetelor de servicii şi a Contractului-cadru care reglementează condiţiile acordării asistenţei medicale, a medicamentelor şi a dispozitivelor medicale, în cadrul sistemului de asigurări sociale de sănătate</w:t>
            </w:r>
            <w:r w:rsidRPr="00D74B6C">
              <w:t xml:space="preserve">, </w:t>
            </w:r>
            <w:r w:rsidR="00CE20E1">
              <w:t xml:space="preserve">aprobate prin Ordinul ministrului sănătății și al președintelui </w:t>
            </w:r>
            <w:r w:rsidR="002C1A7C" w:rsidRPr="00206989">
              <w:t xml:space="preserve">Casei Naţionale de Asigurări de Sănătate </w:t>
            </w:r>
            <w:r w:rsidR="00CE20E1">
              <w:t>nr. 1857/441/2023,</w:t>
            </w:r>
            <w:r w:rsidR="00CE20E1" w:rsidRPr="00D74B6C">
              <w:t xml:space="preserve"> </w:t>
            </w:r>
            <w:r w:rsidRPr="00D74B6C">
              <w:t>cu modifică</w:t>
            </w:r>
            <w:r w:rsidR="00B445A8">
              <w:t>rile și completările ulterioare</w:t>
            </w:r>
            <w:r w:rsidRPr="00D74B6C">
              <w:t>;</w:t>
            </w:r>
          </w:p>
          <w:p w:rsidR="00610B5F" w:rsidRPr="005A56F5" w:rsidRDefault="00610B5F" w:rsidP="003979AE">
            <w:pPr>
              <w:tabs>
                <w:tab w:val="left" w:pos="3960"/>
              </w:tabs>
              <w:autoSpaceDE w:val="0"/>
              <w:autoSpaceDN w:val="0"/>
              <w:adjustRightInd w:val="0"/>
              <w:jc w:val="both"/>
              <w:rPr>
                <w:lang w:val="ro-RO"/>
              </w:rPr>
            </w:pPr>
            <w:r w:rsidRPr="00D74B6C">
              <w:t xml:space="preserve">- </w:t>
            </w:r>
            <w:r w:rsidRPr="00206989">
              <w:t xml:space="preserve">Ordinul președintelui </w:t>
            </w:r>
            <w:r w:rsidR="002C1A7C" w:rsidRPr="00206989">
              <w:t xml:space="preserve">Casei Naţionale de Asigurări de Sănătate </w:t>
            </w:r>
            <w:r w:rsidRPr="00206989">
              <w:t xml:space="preserve">nr. </w:t>
            </w:r>
            <w:r w:rsidR="00CE20E1">
              <w:t xml:space="preserve">563/2023 pentru aprobarea documentelor justificative privind raportarea activităţii realizate de către furnizorii de servicii medicale </w:t>
            </w:r>
            <w:r w:rsidR="00CE20E1">
              <w:lastRenderedPageBreak/>
              <w:t>şi medicamente - formulare unice pe ţară, fără regim special</w:t>
            </w:r>
            <w:r w:rsidRPr="00206989">
              <w:t>, cu modificările şi completările ulterioare.</w:t>
            </w:r>
          </w:p>
        </w:tc>
      </w:tr>
      <w:tr w:rsidR="00ED3C55"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ED3C55" w:rsidRDefault="00ED3C55" w:rsidP="00ED3C55">
            <w:pPr>
              <w:jc w:val="both"/>
              <w:rPr>
                <w:iCs/>
                <w:lang w:val="ro-RO"/>
              </w:rPr>
            </w:pPr>
            <w:r w:rsidRPr="005A56F5">
              <w:rPr>
                <w:b/>
                <w:iCs/>
                <w:lang w:val="ro-RO"/>
              </w:rPr>
              <w:lastRenderedPageBreak/>
              <w:t>5.2</w:t>
            </w:r>
            <w:r w:rsidRPr="005A56F5">
              <w:rPr>
                <w:iCs/>
                <w:lang w:val="ro-RO"/>
              </w:rPr>
              <w:t xml:space="preserve"> Impactul asupra legislației in domeniul achizițiilor publice</w:t>
            </w:r>
          </w:p>
          <w:p w:rsidR="0099610D" w:rsidRPr="005A56F5" w:rsidRDefault="0099610D" w:rsidP="00ED3C55">
            <w:pPr>
              <w:jc w:val="both"/>
              <w:rPr>
                <w:iCs/>
                <w:lang w:val="ro-RO"/>
              </w:rPr>
            </w:pPr>
            <w:r w:rsidRPr="00206989">
              <w:t>Proiectul de act normativ nu se referă la acest subiect</w:t>
            </w:r>
          </w:p>
        </w:tc>
      </w:tr>
      <w:tr w:rsidR="00ED3C55"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ED3C55" w:rsidRPr="005A56F5" w:rsidRDefault="00ED3C55" w:rsidP="00ED3C55">
            <w:pPr>
              <w:jc w:val="both"/>
              <w:rPr>
                <w:lang w:val="ro-RO"/>
              </w:rPr>
            </w:pPr>
            <w:r w:rsidRPr="005A56F5">
              <w:rPr>
                <w:b/>
                <w:lang w:val="ro-RO"/>
              </w:rPr>
              <w:t>5.3</w:t>
            </w:r>
            <w:r w:rsidRPr="005A56F5">
              <w:rPr>
                <w:lang w:val="ro-RO"/>
              </w:rPr>
              <w:t xml:space="preserve"> Conformitatea proiectului de act normativ cu legislația UE (în cazul proiectelor ce transpun sau asigură aplicarea unor prevederi de drept UE). </w:t>
            </w:r>
          </w:p>
          <w:p w:rsidR="00ED3C55" w:rsidRPr="005A56F5" w:rsidRDefault="00ED3C55" w:rsidP="00ED3C55">
            <w:pPr>
              <w:jc w:val="both"/>
              <w:rPr>
                <w:lang w:val="ro-RO"/>
              </w:rPr>
            </w:pPr>
            <w:r w:rsidRPr="005A56F5">
              <w:rPr>
                <w:b/>
                <w:lang w:val="ro-RO"/>
              </w:rPr>
              <w:t xml:space="preserve">         5.3.1</w:t>
            </w:r>
            <w:r w:rsidRPr="005A56F5">
              <w:rPr>
                <w:lang w:val="ro-RO"/>
              </w:rPr>
              <w:t xml:space="preserve"> Măsuri normative necesare transpunerii directivelor UE</w:t>
            </w:r>
          </w:p>
          <w:p w:rsidR="00ED3C55" w:rsidRPr="005A56F5" w:rsidRDefault="00ED3C55" w:rsidP="00ED3C55">
            <w:pPr>
              <w:jc w:val="both"/>
              <w:rPr>
                <w:lang w:val="ro-RO"/>
              </w:rPr>
            </w:pPr>
            <w:r w:rsidRPr="005A56F5">
              <w:rPr>
                <w:lang w:val="ro-RO"/>
              </w:rPr>
              <w:t xml:space="preserve">         </w:t>
            </w:r>
            <w:r w:rsidRPr="005A56F5">
              <w:rPr>
                <w:b/>
                <w:lang w:val="ro-RO"/>
              </w:rPr>
              <w:t>5.3.2</w:t>
            </w:r>
            <w:r w:rsidRPr="005A56F5">
              <w:rPr>
                <w:lang w:val="ro-RO"/>
              </w:rPr>
              <w:t xml:space="preserve"> Măsuri normative necesare aplicării actelor legislative UE  </w:t>
            </w:r>
          </w:p>
          <w:p w:rsidR="00ED3C55" w:rsidRPr="005A56F5" w:rsidRDefault="0099610D" w:rsidP="007B2DFB">
            <w:pPr>
              <w:spacing w:line="276" w:lineRule="auto"/>
              <w:jc w:val="both"/>
              <w:rPr>
                <w:lang w:val="ro-RO"/>
              </w:rPr>
            </w:pPr>
            <w:r w:rsidRPr="00206989">
              <w:t>Proiectul de act normativ nu se referă la acest subiect</w:t>
            </w:r>
          </w:p>
        </w:tc>
      </w:tr>
      <w:tr w:rsidR="00ED3C55" w:rsidRPr="005A56F5" w:rsidTr="0084185D">
        <w:trPr>
          <w:trHeight w:val="314"/>
        </w:trPr>
        <w:tc>
          <w:tcPr>
            <w:tcW w:w="10206" w:type="dxa"/>
            <w:gridSpan w:val="8"/>
            <w:tcBorders>
              <w:top w:val="single" w:sz="4" w:space="0" w:color="auto"/>
              <w:left w:val="single" w:sz="4" w:space="0" w:color="auto"/>
              <w:right w:val="single" w:sz="4" w:space="0" w:color="auto"/>
            </w:tcBorders>
            <w:shd w:val="clear" w:color="auto" w:fill="auto"/>
          </w:tcPr>
          <w:p w:rsidR="00ED3C55" w:rsidRDefault="00ED3C55" w:rsidP="00ED3C55">
            <w:pPr>
              <w:rPr>
                <w:lang w:val="ro-RO"/>
              </w:rPr>
            </w:pPr>
            <w:r w:rsidRPr="005A56F5">
              <w:rPr>
                <w:b/>
                <w:lang w:val="ro-RO"/>
              </w:rPr>
              <w:t>5.4</w:t>
            </w:r>
            <w:r w:rsidRPr="005A56F5">
              <w:rPr>
                <w:lang w:val="ro-RO"/>
              </w:rPr>
              <w:t xml:space="preserve"> Hotărâri ale Curții de Justiție a Uniunii Europene </w:t>
            </w:r>
          </w:p>
          <w:p w:rsidR="0099610D" w:rsidRPr="005A56F5" w:rsidRDefault="0099610D" w:rsidP="00ED3C55">
            <w:pPr>
              <w:rPr>
                <w:lang w:val="ro-RO"/>
              </w:rPr>
            </w:pPr>
            <w:r w:rsidRPr="00206989">
              <w:t>Proiectul de act normativ nu se referă la acest subiect</w:t>
            </w:r>
          </w:p>
        </w:tc>
      </w:tr>
      <w:tr w:rsidR="00241CBB"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C9015F" w:rsidRDefault="00ED3C55" w:rsidP="00ED3C55">
            <w:pPr>
              <w:jc w:val="both"/>
              <w:rPr>
                <w:lang w:val="ro-RO"/>
              </w:rPr>
            </w:pPr>
            <w:r w:rsidRPr="005A56F5">
              <w:rPr>
                <w:b/>
                <w:lang w:val="ro-RO"/>
              </w:rPr>
              <w:t>5.5</w:t>
            </w:r>
            <w:r w:rsidRPr="005A56F5">
              <w:rPr>
                <w:lang w:val="ro-RO"/>
              </w:rPr>
              <w:t xml:space="preserve"> Alte acte normative  şi/sau documente internaționale din care decurg angajamente asumate </w:t>
            </w:r>
          </w:p>
          <w:p w:rsidR="0099610D" w:rsidRPr="005A56F5" w:rsidRDefault="0099610D" w:rsidP="00ED3C55">
            <w:pPr>
              <w:jc w:val="both"/>
              <w:rPr>
                <w:lang w:val="ro-RO"/>
              </w:rPr>
            </w:pPr>
            <w:r w:rsidRPr="00206989">
              <w:t>Proiectul de act normativ nu se referă la acest subiect</w:t>
            </w:r>
          </w:p>
        </w:tc>
      </w:tr>
      <w:tr w:rsidR="00ED3C55"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ED3C55" w:rsidRDefault="00ED3C55" w:rsidP="00ED3C55">
            <w:pPr>
              <w:jc w:val="both"/>
              <w:rPr>
                <w:b/>
                <w:lang w:val="ro-RO"/>
              </w:rPr>
            </w:pPr>
            <w:r w:rsidRPr="005A56F5">
              <w:rPr>
                <w:b/>
                <w:lang w:val="ro-RO"/>
              </w:rPr>
              <w:t>5.6</w:t>
            </w:r>
            <w:r w:rsidRPr="005A56F5">
              <w:rPr>
                <w:lang w:val="ro-RO"/>
              </w:rPr>
              <w:t>. Alte informații</w:t>
            </w:r>
            <w:r w:rsidRPr="005A56F5">
              <w:rPr>
                <w:b/>
                <w:lang w:val="ro-RO"/>
              </w:rPr>
              <w:t xml:space="preserve">  </w:t>
            </w:r>
          </w:p>
          <w:p w:rsidR="0099610D" w:rsidRPr="0099610D" w:rsidRDefault="0099610D" w:rsidP="00ED3C55">
            <w:pPr>
              <w:jc w:val="both"/>
              <w:rPr>
                <w:lang w:val="ro-RO"/>
              </w:rPr>
            </w:pPr>
            <w:r w:rsidRPr="0099610D">
              <w:rPr>
                <w:lang w:val="ro-RO"/>
              </w:rPr>
              <w:t>Nu sunt.</w:t>
            </w:r>
          </w:p>
        </w:tc>
      </w:tr>
      <w:tr w:rsidR="00241CBB"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241CBB" w:rsidP="007B2DFB">
            <w:pPr>
              <w:spacing w:line="276" w:lineRule="auto"/>
              <w:jc w:val="center"/>
              <w:rPr>
                <w:b/>
                <w:lang w:val="ro-RO"/>
              </w:rPr>
            </w:pPr>
            <w:r w:rsidRPr="005A56F5">
              <w:rPr>
                <w:b/>
                <w:lang w:val="ro-RO"/>
              </w:rPr>
              <w:t>Secţiunea a 6-a</w:t>
            </w:r>
          </w:p>
          <w:p w:rsidR="00A019E8" w:rsidRPr="005A56F5" w:rsidRDefault="00241CBB" w:rsidP="00AF0A44">
            <w:pPr>
              <w:spacing w:line="276" w:lineRule="auto"/>
              <w:jc w:val="center"/>
              <w:rPr>
                <w:b/>
                <w:lang w:val="ro-RO"/>
              </w:rPr>
            </w:pPr>
            <w:r w:rsidRPr="005A56F5">
              <w:rPr>
                <w:b/>
                <w:lang w:val="ro-RO"/>
              </w:rPr>
              <w:t xml:space="preserve">Consultările efectuate în vederea elaborării </w:t>
            </w:r>
            <w:r w:rsidR="00677F4E" w:rsidRPr="005A56F5">
              <w:rPr>
                <w:b/>
                <w:lang w:val="ro-RO"/>
              </w:rPr>
              <w:t xml:space="preserve">proiectului de </w:t>
            </w:r>
            <w:r w:rsidRPr="005A56F5">
              <w:rPr>
                <w:b/>
                <w:lang w:val="ro-RO"/>
              </w:rPr>
              <w:t>act normativ</w:t>
            </w:r>
          </w:p>
        </w:tc>
      </w:tr>
      <w:tr w:rsidR="00241CBB"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874DDC" w:rsidRDefault="00677F4E" w:rsidP="00677F4E">
            <w:pPr>
              <w:jc w:val="both"/>
              <w:rPr>
                <w:bCs/>
                <w:lang w:val="ro-RO"/>
              </w:rPr>
            </w:pPr>
            <w:r w:rsidRPr="005A56F5">
              <w:rPr>
                <w:b/>
                <w:bCs/>
                <w:lang w:val="ro-RO"/>
              </w:rPr>
              <w:t>6.1</w:t>
            </w:r>
            <w:r w:rsidRPr="005A56F5">
              <w:rPr>
                <w:bCs/>
                <w:lang w:val="ro-RO"/>
              </w:rPr>
              <w:t xml:space="preserve"> Informații privind neaplicarea procedurii de participare la elaborarea actelor normative</w:t>
            </w:r>
          </w:p>
          <w:p w:rsidR="0099610D" w:rsidRPr="005A56F5" w:rsidRDefault="0099610D" w:rsidP="00677F4E">
            <w:pPr>
              <w:jc w:val="both"/>
              <w:rPr>
                <w:bCs/>
                <w:lang w:val="ro-RO"/>
              </w:rPr>
            </w:pPr>
            <w:r w:rsidRPr="00206989">
              <w:t>Proiectul de act normativ nu se referă la acest subiect</w:t>
            </w:r>
          </w:p>
        </w:tc>
      </w:tr>
      <w:tr w:rsidR="00241CBB"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874DDC" w:rsidRDefault="00677F4E" w:rsidP="00677F4E">
            <w:pPr>
              <w:jc w:val="both"/>
              <w:rPr>
                <w:lang w:val="ro-RO"/>
              </w:rPr>
            </w:pPr>
            <w:r w:rsidRPr="005A56F5">
              <w:rPr>
                <w:b/>
                <w:bCs/>
                <w:lang w:val="ro-RO"/>
              </w:rPr>
              <w:t>6.2</w:t>
            </w:r>
            <w:r w:rsidRPr="005A56F5">
              <w:rPr>
                <w:bCs/>
                <w:lang w:val="ro-RO"/>
              </w:rPr>
              <w:t xml:space="preserve"> Informații privind procesul de consultare cu organizații neguvernamentale, institute de cercetare și alte organisme implicate.</w:t>
            </w:r>
            <w:r w:rsidRPr="005A56F5">
              <w:rPr>
                <w:lang w:val="ro-RO"/>
              </w:rPr>
              <w:t xml:space="preserve"> </w:t>
            </w:r>
          </w:p>
          <w:p w:rsidR="0099610D" w:rsidRPr="005A56F5" w:rsidRDefault="0099610D" w:rsidP="00677F4E">
            <w:pPr>
              <w:jc w:val="both"/>
              <w:rPr>
                <w:lang w:val="ro-RO"/>
              </w:rPr>
            </w:pPr>
            <w:r w:rsidRPr="00206989">
              <w:t>Proiectul de act normativ nu se referă la acest subiect</w:t>
            </w:r>
          </w:p>
        </w:tc>
      </w:tr>
      <w:tr w:rsidR="00241CBB"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027B65" w:rsidRDefault="00677F4E" w:rsidP="00677F4E">
            <w:pPr>
              <w:jc w:val="both"/>
              <w:rPr>
                <w:lang w:val="ro-RO"/>
              </w:rPr>
            </w:pPr>
            <w:r w:rsidRPr="005A56F5">
              <w:rPr>
                <w:b/>
                <w:lang w:val="ro-RO"/>
              </w:rPr>
              <w:t>6.3</w:t>
            </w:r>
            <w:r w:rsidRPr="005A56F5">
              <w:rPr>
                <w:lang w:val="ro-RO"/>
              </w:rPr>
              <w:t xml:space="preserve"> Informații despre consultările organizate cu autoritățile administrației publice locale </w:t>
            </w:r>
          </w:p>
          <w:p w:rsidR="0099610D" w:rsidRPr="005A56F5" w:rsidRDefault="0099610D" w:rsidP="00677F4E">
            <w:pPr>
              <w:jc w:val="both"/>
              <w:rPr>
                <w:lang w:val="ro-RO"/>
              </w:rPr>
            </w:pPr>
            <w:r w:rsidRPr="00206989">
              <w:t>Proiectul de act normativ nu se referă la acest subiect</w:t>
            </w:r>
          </w:p>
        </w:tc>
      </w:tr>
      <w:tr w:rsidR="00241CBB"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C9015F" w:rsidRDefault="00677F4E" w:rsidP="00677F4E">
            <w:pPr>
              <w:jc w:val="both"/>
              <w:rPr>
                <w:lang w:val="ro-RO"/>
              </w:rPr>
            </w:pPr>
            <w:r w:rsidRPr="005A56F5">
              <w:rPr>
                <w:b/>
                <w:lang w:val="ro-RO"/>
              </w:rPr>
              <w:t>6.4</w:t>
            </w:r>
            <w:r w:rsidRPr="005A56F5">
              <w:rPr>
                <w:lang w:val="ro-RO"/>
              </w:rPr>
              <w:t xml:space="preserve"> Informații privind puncte de vedere/opinii emise de organisme consultative constituite prin acte normative </w:t>
            </w:r>
          </w:p>
          <w:p w:rsidR="0099610D" w:rsidRPr="005A56F5" w:rsidRDefault="0099610D" w:rsidP="00677F4E">
            <w:pPr>
              <w:jc w:val="both"/>
              <w:rPr>
                <w:lang w:val="ro-RO"/>
              </w:rPr>
            </w:pPr>
            <w:r w:rsidRPr="00206989">
              <w:t>Proiectul de act normativ nu se referă la acest subiect</w:t>
            </w:r>
          </w:p>
        </w:tc>
      </w:tr>
      <w:tr w:rsidR="00441E1F"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677F4E" w:rsidRPr="005A56F5" w:rsidRDefault="00677F4E" w:rsidP="00677F4E">
            <w:pPr>
              <w:jc w:val="both"/>
              <w:rPr>
                <w:lang w:val="ro-RO"/>
              </w:rPr>
            </w:pPr>
            <w:r w:rsidRPr="005A56F5">
              <w:rPr>
                <w:b/>
                <w:lang w:val="ro-RO"/>
              </w:rPr>
              <w:t>6.5</w:t>
            </w:r>
            <w:r w:rsidRPr="005A56F5">
              <w:rPr>
                <w:lang w:val="ro-RO"/>
              </w:rPr>
              <w:t xml:space="preserve"> Informații privind avizarea de către: </w:t>
            </w:r>
          </w:p>
          <w:p w:rsidR="00677F4E" w:rsidRPr="005A56F5" w:rsidRDefault="00677F4E" w:rsidP="00677F4E">
            <w:pPr>
              <w:jc w:val="both"/>
              <w:rPr>
                <w:lang w:val="ro-RO"/>
              </w:rPr>
            </w:pPr>
            <w:r w:rsidRPr="005A56F5">
              <w:rPr>
                <w:lang w:val="ro-RO"/>
              </w:rPr>
              <w:t>a)</w:t>
            </w:r>
            <w:r w:rsidR="005A56F5">
              <w:rPr>
                <w:lang w:val="ro-RO"/>
              </w:rPr>
              <w:t xml:space="preserve"> </w:t>
            </w:r>
            <w:r w:rsidRPr="005A56F5">
              <w:rPr>
                <w:lang w:val="ro-RO"/>
              </w:rPr>
              <w:t xml:space="preserve">Consiliul Legislativ </w:t>
            </w:r>
            <w:r w:rsidR="0099610D">
              <w:rPr>
                <w:lang w:val="ro-RO"/>
              </w:rPr>
              <w:t>- este necesar</w:t>
            </w:r>
          </w:p>
          <w:p w:rsidR="00677F4E" w:rsidRPr="005A56F5" w:rsidRDefault="00677F4E" w:rsidP="00677F4E">
            <w:pPr>
              <w:jc w:val="both"/>
              <w:rPr>
                <w:lang w:val="ro-RO"/>
              </w:rPr>
            </w:pPr>
            <w:r w:rsidRPr="005A56F5">
              <w:rPr>
                <w:lang w:val="ro-RO"/>
              </w:rPr>
              <w:t>b)</w:t>
            </w:r>
            <w:r w:rsidR="005A56F5">
              <w:rPr>
                <w:lang w:val="ro-RO"/>
              </w:rPr>
              <w:t xml:space="preserve"> </w:t>
            </w:r>
            <w:r w:rsidRPr="005A56F5">
              <w:rPr>
                <w:lang w:val="ro-RO"/>
              </w:rPr>
              <w:t xml:space="preserve">Consiliul Suprem de Apărare a Țării </w:t>
            </w:r>
          </w:p>
          <w:p w:rsidR="00677F4E" w:rsidRPr="005A56F5" w:rsidRDefault="00677F4E" w:rsidP="00677F4E">
            <w:pPr>
              <w:jc w:val="both"/>
              <w:rPr>
                <w:lang w:val="ro-RO"/>
              </w:rPr>
            </w:pPr>
            <w:r w:rsidRPr="005A56F5">
              <w:rPr>
                <w:lang w:val="ro-RO"/>
              </w:rPr>
              <w:t>c)</w:t>
            </w:r>
            <w:r w:rsidR="005A56F5">
              <w:rPr>
                <w:lang w:val="ro-RO"/>
              </w:rPr>
              <w:t xml:space="preserve"> </w:t>
            </w:r>
            <w:r w:rsidRPr="005A56F5">
              <w:rPr>
                <w:lang w:val="ro-RO"/>
              </w:rPr>
              <w:t xml:space="preserve">Consiliul Economic și Social </w:t>
            </w:r>
          </w:p>
          <w:p w:rsidR="00677F4E" w:rsidRPr="005A56F5" w:rsidRDefault="00677F4E" w:rsidP="00677F4E">
            <w:pPr>
              <w:jc w:val="both"/>
              <w:rPr>
                <w:lang w:val="ro-RO"/>
              </w:rPr>
            </w:pPr>
            <w:r w:rsidRPr="005A56F5">
              <w:rPr>
                <w:lang w:val="ro-RO"/>
              </w:rPr>
              <w:t>d)</w:t>
            </w:r>
            <w:r w:rsidR="005A56F5">
              <w:rPr>
                <w:lang w:val="ro-RO"/>
              </w:rPr>
              <w:t xml:space="preserve"> </w:t>
            </w:r>
            <w:r w:rsidRPr="005A56F5">
              <w:rPr>
                <w:lang w:val="ro-RO"/>
              </w:rPr>
              <w:t xml:space="preserve">Consiliul Concurenței </w:t>
            </w:r>
          </w:p>
          <w:p w:rsidR="00441E1F" w:rsidRPr="005A56F5" w:rsidRDefault="00677F4E" w:rsidP="00677F4E">
            <w:pPr>
              <w:autoSpaceDE w:val="0"/>
              <w:autoSpaceDN w:val="0"/>
              <w:adjustRightInd w:val="0"/>
              <w:jc w:val="both"/>
              <w:rPr>
                <w:lang w:val="ro-RO"/>
              </w:rPr>
            </w:pPr>
            <w:r w:rsidRPr="005A56F5">
              <w:rPr>
                <w:lang w:val="ro-RO"/>
              </w:rPr>
              <w:t>e)</w:t>
            </w:r>
            <w:r w:rsidR="005A56F5">
              <w:rPr>
                <w:lang w:val="ro-RO"/>
              </w:rPr>
              <w:t xml:space="preserve"> </w:t>
            </w:r>
            <w:r w:rsidRPr="005A56F5">
              <w:rPr>
                <w:lang w:val="ro-RO"/>
              </w:rPr>
              <w:t xml:space="preserve">Curtea de Conturi </w:t>
            </w:r>
          </w:p>
        </w:tc>
      </w:tr>
      <w:tr w:rsidR="00677F4E"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677F4E" w:rsidRPr="005A56F5" w:rsidRDefault="00677F4E" w:rsidP="007B2DFB">
            <w:pPr>
              <w:spacing w:line="276" w:lineRule="auto"/>
              <w:jc w:val="both"/>
              <w:rPr>
                <w:b/>
                <w:lang w:val="ro-RO"/>
              </w:rPr>
            </w:pPr>
            <w:r w:rsidRPr="005A56F5">
              <w:rPr>
                <w:b/>
                <w:lang w:val="ro-RO"/>
              </w:rPr>
              <w:t>6.6</w:t>
            </w:r>
            <w:r w:rsidRPr="005A56F5">
              <w:rPr>
                <w:lang w:val="ro-RO"/>
              </w:rPr>
              <w:t xml:space="preserve"> Alte informaţii</w:t>
            </w:r>
          </w:p>
        </w:tc>
      </w:tr>
      <w:tr w:rsidR="00241CBB" w:rsidRPr="005A56F5" w:rsidTr="0084185D">
        <w:trPr>
          <w:trHeight w:val="350"/>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3E0E8D" w:rsidRPr="005A56F5" w:rsidRDefault="00241CBB" w:rsidP="007B2DFB">
            <w:pPr>
              <w:spacing w:line="276" w:lineRule="auto"/>
              <w:jc w:val="center"/>
              <w:rPr>
                <w:b/>
                <w:lang w:val="ro-RO"/>
              </w:rPr>
            </w:pPr>
            <w:r w:rsidRPr="005A56F5">
              <w:rPr>
                <w:b/>
                <w:lang w:val="ro-RO"/>
              </w:rPr>
              <w:t>Secţiunea a 7-a</w:t>
            </w:r>
          </w:p>
          <w:p w:rsidR="00241CBB" w:rsidRPr="005A56F5" w:rsidRDefault="00241CBB" w:rsidP="007B2DFB">
            <w:pPr>
              <w:spacing w:line="276" w:lineRule="auto"/>
              <w:jc w:val="center"/>
              <w:rPr>
                <w:b/>
                <w:lang w:val="ro-RO"/>
              </w:rPr>
            </w:pPr>
            <w:r w:rsidRPr="005A56F5">
              <w:rPr>
                <w:b/>
                <w:lang w:val="ro-RO"/>
              </w:rPr>
              <w:t>Activităţi de informare publică privind elaborarea</w:t>
            </w:r>
          </w:p>
          <w:p w:rsidR="00A019E8" w:rsidRPr="005A56F5" w:rsidRDefault="00241CBB" w:rsidP="00677F4E">
            <w:pPr>
              <w:spacing w:line="276" w:lineRule="auto"/>
              <w:jc w:val="center"/>
              <w:rPr>
                <w:b/>
                <w:lang w:val="ro-RO"/>
              </w:rPr>
            </w:pPr>
            <w:r w:rsidRPr="005A56F5">
              <w:rPr>
                <w:b/>
                <w:lang w:val="ro-RO"/>
              </w:rPr>
              <w:t xml:space="preserve">şi implementarea </w:t>
            </w:r>
            <w:r w:rsidR="00677F4E" w:rsidRPr="005A56F5">
              <w:rPr>
                <w:b/>
                <w:lang w:val="ro-RO"/>
              </w:rPr>
              <w:t xml:space="preserve">proiectului de </w:t>
            </w:r>
            <w:r w:rsidRPr="005A56F5">
              <w:rPr>
                <w:b/>
                <w:lang w:val="ro-RO"/>
              </w:rPr>
              <w:t>act normativ</w:t>
            </w:r>
          </w:p>
        </w:tc>
      </w:tr>
      <w:tr w:rsidR="00241CBB" w:rsidRPr="005A56F5" w:rsidTr="0084185D">
        <w:trPr>
          <w:trHeight w:val="70"/>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D64ACC" w:rsidRPr="005A56F5" w:rsidRDefault="00677F4E" w:rsidP="00677F4E">
            <w:pPr>
              <w:spacing w:line="276" w:lineRule="auto"/>
              <w:jc w:val="both"/>
              <w:rPr>
                <w:lang w:val="ro-RO"/>
              </w:rPr>
            </w:pPr>
            <w:r w:rsidRPr="005A56F5">
              <w:rPr>
                <w:b/>
                <w:lang w:val="ro-RO"/>
              </w:rPr>
              <w:t>7.1</w:t>
            </w:r>
            <w:r w:rsidRPr="005A56F5">
              <w:rPr>
                <w:lang w:val="ro-RO"/>
              </w:rPr>
              <w:t xml:space="preserve"> Informarea societății civile cu privire la elaborarea proiectului de act normativ</w:t>
            </w:r>
          </w:p>
        </w:tc>
      </w:tr>
      <w:tr w:rsidR="00241CBB" w:rsidRPr="005A56F5" w:rsidTr="0084185D">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241CBB" w:rsidRDefault="00677F4E" w:rsidP="007B2DFB">
            <w:pPr>
              <w:spacing w:line="276" w:lineRule="auto"/>
              <w:jc w:val="both"/>
              <w:rPr>
                <w:lang w:val="ro-RO"/>
              </w:rPr>
            </w:pPr>
            <w:r w:rsidRPr="005A56F5">
              <w:rPr>
                <w:b/>
                <w:lang w:val="ro-RO"/>
              </w:rPr>
              <w:t>7.2</w:t>
            </w:r>
            <w:r w:rsidRPr="005A56F5">
              <w:rPr>
                <w:lang w:val="ro-RO"/>
              </w:rPr>
              <w:t xml:space="preserve"> Informarea societății civile cu privire la eventualul impact asupra mediului în urma implementării proiectului de act normativ, precum şi efectele asupra sănătății și securității cetățenilor sau diversității biologice.</w:t>
            </w:r>
          </w:p>
          <w:p w:rsidR="0099610D" w:rsidRPr="00234752" w:rsidRDefault="0099610D" w:rsidP="002C1A7C">
            <w:pPr>
              <w:spacing w:line="276" w:lineRule="auto"/>
              <w:jc w:val="both"/>
              <w:rPr>
                <w:color w:val="000000"/>
                <w:lang w:val="ro-RO"/>
              </w:rPr>
            </w:pPr>
            <w:r w:rsidRPr="00234752">
              <w:rPr>
                <w:color w:val="000000"/>
              </w:rPr>
              <w:t>Având în vedere faptul că prezentul act normativ pune în c</w:t>
            </w:r>
            <w:r w:rsidR="005A67C1" w:rsidRPr="00234752">
              <w:rPr>
                <w:color w:val="000000"/>
              </w:rPr>
              <w:t xml:space="preserve">oncordanță prevederile </w:t>
            </w:r>
            <w:r w:rsidR="0084185D" w:rsidRPr="00234752">
              <w:rPr>
                <w:color w:val="000000"/>
              </w:rPr>
              <w:t xml:space="preserve">Legii nr. </w:t>
            </w:r>
            <w:r w:rsidR="00AD4450" w:rsidRPr="00234752">
              <w:rPr>
                <w:color w:val="000000"/>
              </w:rPr>
              <w:t>360</w:t>
            </w:r>
            <w:r w:rsidR="0084185D" w:rsidRPr="00234752">
              <w:rPr>
                <w:color w:val="000000"/>
              </w:rPr>
              <w:t>/2023</w:t>
            </w:r>
            <w:r w:rsidRPr="00234752">
              <w:rPr>
                <w:color w:val="000000"/>
              </w:rPr>
              <w:t xml:space="preserve"> cu unele dispoziții din legislația sistemului de asigurări sociale de sănătate referitoare la medicamentele acordate persoanelor cu venituri mici din pensii și ținând cont de faptul că aceste măsuri au aplicabiliate începând cu data 1 ianuarie 202</w:t>
            </w:r>
            <w:r w:rsidR="002C1A7C">
              <w:rPr>
                <w:color w:val="000000"/>
              </w:rPr>
              <w:t>5</w:t>
            </w:r>
            <w:r w:rsidRPr="00234752">
              <w:rPr>
                <w:color w:val="000000"/>
              </w:rPr>
              <w:t>, apreciem că sunt incidente dispozițiile art. 7 alin. (13) din Legea nr. 52/2003.</w:t>
            </w:r>
          </w:p>
        </w:tc>
      </w:tr>
      <w:tr w:rsidR="00241CBB" w:rsidRPr="005A56F5" w:rsidTr="0084185D">
        <w:trPr>
          <w:trHeight w:val="639"/>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rsidR="00241CBB" w:rsidRPr="005A56F5" w:rsidRDefault="00241CBB" w:rsidP="007B2DFB">
            <w:pPr>
              <w:spacing w:line="276" w:lineRule="auto"/>
              <w:jc w:val="center"/>
              <w:rPr>
                <w:lang w:val="ro-RO"/>
              </w:rPr>
            </w:pPr>
            <w:r w:rsidRPr="005A56F5">
              <w:rPr>
                <w:b/>
                <w:lang w:val="ro-RO"/>
              </w:rPr>
              <w:t>Secţiunea a 8-a</w:t>
            </w:r>
          </w:p>
          <w:p w:rsidR="00A019E8" w:rsidRPr="005A56F5" w:rsidRDefault="00241CBB" w:rsidP="00AF0A44">
            <w:pPr>
              <w:spacing w:line="276" w:lineRule="auto"/>
              <w:jc w:val="center"/>
              <w:rPr>
                <w:b/>
                <w:bCs/>
                <w:lang w:val="ro-RO"/>
              </w:rPr>
            </w:pPr>
            <w:r w:rsidRPr="005A56F5">
              <w:rPr>
                <w:b/>
                <w:bCs/>
                <w:lang w:val="ro-RO"/>
              </w:rPr>
              <w:t xml:space="preserve">Măsuri </w:t>
            </w:r>
            <w:r w:rsidR="00677F4E" w:rsidRPr="005A56F5">
              <w:rPr>
                <w:b/>
                <w:lang w:val="ro-RO"/>
              </w:rPr>
              <w:t>privind implementarea, monitorizarea și evaluarea proiectului de act normativ</w:t>
            </w:r>
          </w:p>
        </w:tc>
      </w:tr>
      <w:tr w:rsidR="006E7B26" w:rsidRPr="005A56F5" w:rsidTr="0084185D">
        <w:trPr>
          <w:trHeight w:val="639"/>
        </w:trPr>
        <w:tc>
          <w:tcPr>
            <w:tcW w:w="4750" w:type="dxa"/>
            <w:tcBorders>
              <w:top w:val="single" w:sz="4" w:space="0" w:color="auto"/>
              <w:left w:val="single" w:sz="4" w:space="0" w:color="auto"/>
              <w:bottom w:val="single" w:sz="4" w:space="0" w:color="auto"/>
              <w:right w:val="single" w:sz="4" w:space="0" w:color="auto"/>
            </w:tcBorders>
            <w:shd w:val="clear" w:color="auto" w:fill="auto"/>
          </w:tcPr>
          <w:p w:rsidR="006E7B26" w:rsidRPr="005A56F5" w:rsidRDefault="005A56F5" w:rsidP="00677F4E">
            <w:pPr>
              <w:spacing w:line="276" w:lineRule="auto"/>
              <w:jc w:val="both"/>
              <w:rPr>
                <w:lang w:val="ro-RO"/>
              </w:rPr>
            </w:pPr>
            <w:r>
              <w:rPr>
                <w:b/>
                <w:lang w:val="ro-RO"/>
              </w:rPr>
              <w:t>8.1</w:t>
            </w:r>
            <w:r w:rsidR="006E7B26" w:rsidRPr="005A56F5">
              <w:rPr>
                <w:b/>
                <w:lang w:val="ro-RO"/>
              </w:rPr>
              <w:t xml:space="preserve"> </w:t>
            </w:r>
            <w:r w:rsidR="006E7B26" w:rsidRPr="005A56F5">
              <w:rPr>
                <w:lang w:val="ro-RO"/>
              </w:rPr>
              <w:t xml:space="preserve">Măsurile de punere în aplicare a </w:t>
            </w:r>
            <w:r w:rsidR="00677F4E" w:rsidRPr="005A56F5">
              <w:rPr>
                <w:lang w:val="ro-RO"/>
              </w:rPr>
              <w:t>proiectului de act normativ</w:t>
            </w:r>
          </w:p>
        </w:tc>
        <w:tc>
          <w:tcPr>
            <w:tcW w:w="5456" w:type="dxa"/>
            <w:gridSpan w:val="7"/>
            <w:tcBorders>
              <w:top w:val="single" w:sz="4" w:space="0" w:color="auto"/>
              <w:left w:val="single" w:sz="4" w:space="0" w:color="auto"/>
              <w:bottom w:val="single" w:sz="4" w:space="0" w:color="auto"/>
              <w:right w:val="single" w:sz="4" w:space="0" w:color="auto"/>
            </w:tcBorders>
            <w:shd w:val="clear" w:color="auto" w:fill="auto"/>
          </w:tcPr>
          <w:p w:rsidR="006E7B26" w:rsidRPr="005A56F5" w:rsidRDefault="0099610D" w:rsidP="007B2DFB">
            <w:pPr>
              <w:spacing w:line="276" w:lineRule="auto"/>
              <w:contextualSpacing/>
              <w:jc w:val="both"/>
              <w:rPr>
                <w:lang w:val="ro-RO"/>
              </w:rPr>
            </w:pPr>
            <w:r w:rsidRPr="00206989">
              <w:t>Proiectul de act normativ nu se referă la acest subiect.</w:t>
            </w:r>
          </w:p>
        </w:tc>
      </w:tr>
      <w:tr w:rsidR="006E7B26" w:rsidRPr="005A56F5" w:rsidTr="0084185D">
        <w:trPr>
          <w:trHeight w:val="53"/>
        </w:trPr>
        <w:tc>
          <w:tcPr>
            <w:tcW w:w="4750" w:type="dxa"/>
            <w:tcBorders>
              <w:top w:val="single" w:sz="4" w:space="0" w:color="auto"/>
              <w:left w:val="single" w:sz="4" w:space="0" w:color="auto"/>
              <w:bottom w:val="single" w:sz="4" w:space="0" w:color="auto"/>
              <w:right w:val="single" w:sz="4" w:space="0" w:color="auto"/>
            </w:tcBorders>
            <w:shd w:val="clear" w:color="auto" w:fill="auto"/>
          </w:tcPr>
          <w:p w:rsidR="006E7B26" w:rsidRPr="005A56F5" w:rsidRDefault="005A56F5" w:rsidP="005A56F5">
            <w:pPr>
              <w:spacing w:line="276" w:lineRule="auto"/>
              <w:jc w:val="both"/>
              <w:rPr>
                <w:lang w:val="ro-RO"/>
              </w:rPr>
            </w:pPr>
            <w:r>
              <w:rPr>
                <w:b/>
                <w:lang w:val="ro-RO"/>
              </w:rPr>
              <w:t>8.</w:t>
            </w:r>
            <w:r w:rsidR="006E7B26" w:rsidRPr="005A56F5">
              <w:rPr>
                <w:b/>
                <w:lang w:val="ro-RO"/>
              </w:rPr>
              <w:t>2 Alte informaţii.</w:t>
            </w:r>
          </w:p>
        </w:tc>
        <w:tc>
          <w:tcPr>
            <w:tcW w:w="5456" w:type="dxa"/>
            <w:gridSpan w:val="7"/>
            <w:tcBorders>
              <w:top w:val="single" w:sz="4" w:space="0" w:color="auto"/>
              <w:left w:val="single" w:sz="4" w:space="0" w:color="auto"/>
              <w:bottom w:val="single" w:sz="4" w:space="0" w:color="auto"/>
              <w:right w:val="single" w:sz="4" w:space="0" w:color="auto"/>
            </w:tcBorders>
            <w:shd w:val="clear" w:color="auto" w:fill="auto"/>
          </w:tcPr>
          <w:p w:rsidR="006E7B26" w:rsidRPr="005A56F5" w:rsidRDefault="0099610D" w:rsidP="007B2DFB">
            <w:pPr>
              <w:spacing w:line="276" w:lineRule="auto"/>
              <w:jc w:val="both"/>
              <w:rPr>
                <w:lang w:val="ro-RO"/>
              </w:rPr>
            </w:pPr>
            <w:r>
              <w:rPr>
                <w:lang w:val="ro-RO"/>
              </w:rPr>
              <w:t>Nu sunt</w:t>
            </w:r>
          </w:p>
        </w:tc>
      </w:tr>
    </w:tbl>
    <w:p w:rsidR="003979AE" w:rsidRDefault="003979AE" w:rsidP="007B2DFB">
      <w:pPr>
        <w:spacing w:line="276" w:lineRule="auto"/>
        <w:jc w:val="both"/>
        <w:rPr>
          <w:lang w:val="ro-RO"/>
        </w:rPr>
      </w:pPr>
    </w:p>
    <w:p w:rsidR="006E7B26" w:rsidRPr="007216FC" w:rsidRDefault="006E7B26" w:rsidP="007B2DFB">
      <w:pPr>
        <w:spacing w:line="276" w:lineRule="auto"/>
        <w:jc w:val="both"/>
        <w:rPr>
          <w:vanish/>
          <w:lang w:val="ro-RO"/>
        </w:rPr>
      </w:pPr>
    </w:p>
    <w:p w:rsidR="00950927" w:rsidRPr="007216FC" w:rsidRDefault="0099610D" w:rsidP="00AF0A44">
      <w:pPr>
        <w:pStyle w:val="BodyText"/>
        <w:ind w:firstLine="720"/>
        <w:jc w:val="both"/>
        <w:rPr>
          <w:lang w:val="ro-RO"/>
        </w:rPr>
      </w:pPr>
      <w:r w:rsidRPr="007216FC">
        <w:t>Faţă de cele prezentate, a fost elaborat prezentul proiect de</w:t>
      </w:r>
      <w:r w:rsidRPr="007216FC">
        <w:rPr>
          <w:b/>
          <w:bCs/>
        </w:rPr>
        <w:t xml:space="preserve"> </w:t>
      </w:r>
      <w:r w:rsidRPr="007216FC">
        <w:t xml:space="preserve">hotărâre </w:t>
      </w:r>
      <w:r w:rsidR="00640B1B" w:rsidRPr="007216FC">
        <w:t>pentru modificarea</w:t>
      </w:r>
      <w:r w:rsidR="00AB7459" w:rsidRPr="007216FC">
        <w:rPr>
          <w:lang w:val="ro-RO"/>
        </w:rPr>
        <w:t xml:space="preserve"> </w:t>
      </w:r>
      <w:r w:rsidR="00AB7459" w:rsidRPr="007216FC">
        <w:rPr>
          <w:lang w:val="en-US"/>
        </w:rPr>
        <w:t>și completarea</w:t>
      </w:r>
      <w:r w:rsidR="00640B1B" w:rsidRPr="007216FC">
        <w:rPr>
          <w:lang w:val="en-US"/>
        </w:rPr>
        <w:t xml:space="preserve"> </w:t>
      </w:r>
      <w:r w:rsidR="00640B1B" w:rsidRPr="007216FC">
        <w:t>unor acte normative referitoare la Programul pentru compensarea cu 90% a preţului de referinţă al medicamentelor pentru pensionari</w:t>
      </w:r>
      <w:r w:rsidRPr="007216FC">
        <w:t>,</w:t>
      </w:r>
      <w:r w:rsidRPr="007216FC">
        <w:rPr>
          <w:i/>
        </w:rPr>
        <w:t xml:space="preserve"> </w:t>
      </w:r>
      <w:r w:rsidRPr="007216FC">
        <w:t>pe care îl supunem Guvernului spre adoptare.</w:t>
      </w:r>
    </w:p>
    <w:p w:rsidR="00D5408A" w:rsidRPr="005A56F5" w:rsidRDefault="00D5408A" w:rsidP="007B2DFB">
      <w:pPr>
        <w:autoSpaceDE w:val="0"/>
        <w:autoSpaceDN w:val="0"/>
        <w:adjustRightInd w:val="0"/>
        <w:spacing w:line="276" w:lineRule="auto"/>
        <w:jc w:val="both"/>
        <w:rPr>
          <w:b/>
          <w:lang w:val="ro-RO"/>
        </w:rPr>
      </w:pPr>
    </w:p>
    <w:p w:rsidR="0099610D" w:rsidRPr="00206989" w:rsidRDefault="0099610D" w:rsidP="0099610D">
      <w:pPr>
        <w:jc w:val="center"/>
        <w:rPr>
          <w:b/>
          <w:bCs/>
        </w:rPr>
      </w:pPr>
      <w:r w:rsidRPr="00206989">
        <w:rPr>
          <w:b/>
          <w:bCs/>
        </w:rPr>
        <w:t>Ministrul sănătăţii</w:t>
      </w:r>
    </w:p>
    <w:p w:rsidR="0099610D" w:rsidRPr="00206989" w:rsidRDefault="0099610D" w:rsidP="0099610D">
      <w:pPr>
        <w:jc w:val="center"/>
        <w:rPr>
          <w:b/>
          <w:bCs/>
        </w:rPr>
      </w:pPr>
    </w:p>
    <w:p w:rsidR="0099610D" w:rsidRPr="00206989" w:rsidRDefault="0099610D" w:rsidP="0099610D">
      <w:pPr>
        <w:jc w:val="center"/>
        <w:rPr>
          <w:b/>
          <w:bCs/>
        </w:rPr>
      </w:pPr>
      <w:r w:rsidRPr="00206989">
        <w:rPr>
          <w:b/>
          <w:bCs/>
        </w:rPr>
        <w:t>Alexandru RAFILA</w:t>
      </w:r>
    </w:p>
    <w:p w:rsidR="0099610D" w:rsidRPr="00206989" w:rsidRDefault="0099610D" w:rsidP="0099610D">
      <w:pPr>
        <w:jc w:val="center"/>
        <w:rPr>
          <w:b/>
          <w:bCs/>
        </w:rPr>
      </w:pPr>
    </w:p>
    <w:p w:rsidR="0099610D" w:rsidRPr="00206989" w:rsidRDefault="0099610D" w:rsidP="0099610D">
      <w:pPr>
        <w:jc w:val="center"/>
        <w:rPr>
          <w:b/>
          <w:bCs/>
        </w:rPr>
      </w:pPr>
    </w:p>
    <w:p w:rsidR="0099610D" w:rsidRPr="00206989" w:rsidRDefault="0099610D" w:rsidP="0099610D">
      <w:pPr>
        <w:jc w:val="center"/>
        <w:rPr>
          <w:b/>
          <w:bCs/>
        </w:rPr>
      </w:pPr>
    </w:p>
    <w:p w:rsidR="0099610D" w:rsidRPr="00206989" w:rsidRDefault="0099610D" w:rsidP="0099610D">
      <w:pPr>
        <w:jc w:val="center"/>
        <w:rPr>
          <w:b/>
          <w:bCs/>
          <w:u w:val="single"/>
        </w:rPr>
      </w:pPr>
      <w:r w:rsidRPr="00206989">
        <w:rPr>
          <w:b/>
          <w:bCs/>
          <w:u w:val="single"/>
        </w:rPr>
        <w:t>Avizăm favorabil:</w:t>
      </w:r>
    </w:p>
    <w:p w:rsidR="0099610D" w:rsidRPr="00206989" w:rsidRDefault="0099610D" w:rsidP="0099610D">
      <w:pPr>
        <w:jc w:val="center"/>
        <w:rPr>
          <w:b/>
          <w:bCs/>
        </w:rPr>
      </w:pPr>
    </w:p>
    <w:p w:rsidR="0099610D" w:rsidRDefault="0099610D" w:rsidP="0099610D">
      <w:pPr>
        <w:jc w:val="center"/>
        <w:rPr>
          <w:b/>
          <w:bCs/>
        </w:rPr>
      </w:pPr>
    </w:p>
    <w:p w:rsidR="00B445A8" w:rsidRPr="00B445A8" w:rsidRDefault="00B445A8" w:rsidP="00B445A8">
      <w:pPr>
        <w:jc w:val="center"/>
        <w:rPr>
          <w:b/>
          <w:bCs/>
        </w:rPr>
      </w:pPr>
      <w:r w:rsidRPr="00B445A8">
        <w:rPr>
          <w:b/>
          <w:bCs/>
        </w:rPr>
        <w:t>Viceprim-ministru,</w:t>
      </w:r>
    </w:p>
    <w:p w:rsidR="00B445A8" w:rsidRDefault="00CE20E1" w:rsidP="00CE20E1">
      <w:pPr>
        <w:jc w:val="center"/>
        <w:rPr>
          <w:b/>
          <w:bCs/>
        </w:rPr>
      </w:pPr>
      <w:r w:rsidRPr="00CE20E1">
        <w:rPr>
          <w:b/>
          <w:bCs/>
        </w:rPr>
        <w:t xml:space="preserve">Marian </w:t>
      </w:r>
      <w:r w:rsidR="00856646" w:rsidRPr="00CE20E1">
        <w:rPr>
          <w:b/>
          <w:bCs/>
        </w:rPr>
        <w:t>NEACŞU</w:t>
      </w:r>
    </w:p>
    <w:p w:rsidR="00B445A8" w:rsidRDefault="00B445A8" w:rsidP="0099610D">
      <w:pPr>
        <w:jc w:val="center"/>
        <w:rPr>
          <w:b/>
          <w:bCs/>
        </w:rPr>
      </w:pPr>
    </w:p>
    <w:p w:rsidR="00B445A8" w:rsidRPr="00206989" w:rsidRDefault="00B445A8" w:rsidP="0099610D">
      <w:pPr>
        <w:jc w:val="center"/>
        <w:rPr>
          <w:b/>
          <w:bCs/>
        </w:rPr>
      </w:pPr>
    </w:p>
    <w:p w:rsidR="0099610D" w:rsidRPr="00206989" w:rsidRDefault="0099610D" w:rsidP="0099610D">
      <w:pPr>
        <w:jc w:val="center"/>
        <w:rPr>
          <w:b/>
          <w:bCs/>
        </w:rPr>
      </w:pPr>
      <w:r w:rsidRPr="00206989">
        <w:rPr>
          <w:b/>
          <w:bCs/>
        </w:rPr>
        <w:t>Ministrul muncii și solidarității sociale</w:t>
      </w:r>
    </w:p>
    <w:p w:rsidR="0099610D" w:rsidRPr="00206989" w:rsidRDefault="0099610D" w:rsidP="0099610D">
      <w:pPr>
        <w:jc w:val="center"/>
        <w:rPr>
          <w:b/>
          <w:bCs/>
        </w:rPr>
      </w:pPr>
    </w:p>
    <w:p w:rsidR="0099610D" w:rsidRPr="00206989" w:rsidRDefault="00CE20E1" w:rsidP="0099610D">
      <w:pPr>
        <w:jc w:val="center"/>
        <w:rPr>
          <w:b/>
          <w:bCs/>
        </w:rPr>
      </w:pPr>
      <w:r w:rsidRPr="00CE20E1">
        <w:rPr>
          <w:b/>
          <w:bCs/>
        </w:rPr>
        <w:t>Simona BUCURA-OPRESCU</w:t>
      </w:r>
    </w:p>
    <w:p w:rsidR="0099610D" w:rsidRPr="00206989" w:rsidRDefault="0099610D" w:rsidP="0099610D">
      <w:pPr>
        <w:jc w:val="center"/>
        <w:rPr>
          <w:b/>
          <w:bCs/>
        </w:rPr>
      </w:pPr>
    </w:p>
    <w:p w:rsidR="0099610D" w:rsidRPr="00206989" w:rsidRDefault="0099610D" w:rsidP="0099610D">
      <w:pPr>
        <w:jc w:val="center"/>
        <w:rPr>
          <w:b/>
          <w:bCs/>
        </w:rPr>
      </w:pPr>
    </w:p>
    <w:p w:rsidR="0099610D" w:rsidRPr="00206989" w:rsidRDefault="0099610D" w:rsidP="0099610D">
      <w:pPr>
        <w:jc w:val="center"/>
        <w:rPr>
          <w:b/>
          <w:bCs/>
        </w:rPr>
      </w:pPr>
      <w:r w:rsidRPr="00206989">
        <w:rPr>
          <w:b/>
          <w:bCs/>
        </w:rPr>
        <w:t xml:space="preserve">  Ministrul finanţelor</w:t>
      </w:r>
    </w:p>
    <w:p w:rsidR="0099610D" w:rsidRPr="00206989" w:rsidRDefault="0099610D" w:rsidP="0099610D">
      <w:pPr>
        <w:jc w:val="center"/>
        <w:rPr>
          <w:b/>
          <w:bCs/>
        </w:rPr>
      </w:pPr>
    </w:p>
    <w:p w:rsidR="0099610D" w:rsidRPr="00206989" w:rsidRDefault="00CE20E1" w:rsidP="0099610D">
      <w:pPr>
        <w:jc w:val="center"/>
        <w:rPr>
          <w:b/>
          <w:bCs/>
        </w:rPr>
      </w:pPr>
      <w:r w:rsidRPr="00CE20E1">
        <w:rPr>
          <w:b/>
          <w:bCs/>
        </w:rPr>
        <w:t>Marcel-Ioan BOLOȘ</w:t>
      </w:r>
    </w:p>
    <w:p w:rsidR="0099610D" w:rsidRPr="00206989" w:rsidRDefault="0099610D" w:rsidP="0099610D">
      <w:pPr>
        <w:jc w:val="center"/>
        <w:rPr>
          <w:b/>
          <w:bCs/>
        </w:rPr>
      </w:pPr>
    </w:p>
    <w:p w:rsidR="0099610D" w:rsidRPr="00206989" w:rsidRDefault="0099610D" w:rsidP="0099610D">
      <w:pPr>
        <w:jc w:val="center"/>
        <w:rPr>
          <w:b/>
          <w:bCs/>
        </w:rPr>
      </w:pPr>
    </w:p>
    <w:p w:rsidR="0099610D" w:rsidRPr="00206989" w:rsidRDefault="0099610D" w:rsidP="0099610D">
      <w:pPr>
        <w:jc w:val="center"/>
        <w:rPr>
          <w:b/>
          <w:bCs/>
        </w:rPr>
      </w:pPr>
      <w:r w:rsidRPr="00206989">
        <w:rPr>
          <w:b/>
          <w:bCs/>
        </w:rPr>
        <w:t>Ministrul justiției</w:t>
      </w:r>
    </w:p>
    <w:p w:rsidR="0099610D" w:rsidRPr="00206989" w:rsidRDefault="0099610D" w:rsidP="0099610D">
      <w:pPr>
        <w:jc w:val="center"/>
        <w:rPr>
          <w:b/>
          <w:bCs/>
        </w:rPr>
      </w:pPr>
    </w:p>
    <w:p w:rsidR="0099610D" w:rsidRPr="00206989" w:rsidRDefault="0071290C" w:rsidP="0099610D">
      <w:pPr>
        <w:jc w:val="center"/>
        <w:rPr>
          <w:b/>
          <w:bCs/>
        </w:rPr>
      </w:pPr>
      <w:r w:rsidRPr="0071290C">
        <w:rPr>
          <w:b/>
          <w:bCs/>
        </w:rPr>
        <w:t>Alina-Ștefania GORGHIU</w:t>
      </w:r>
    </w:p>
    <w:p w:rsidR="0099610D" w:rsidRPr="00206989" w:rsidRDefault="0099610D" w:rsidP="0099610D">
      <w:pPr>
        <w:jc w:val="center"/>
        <w:rPr>
          <w:b/>
          <w:bCs/>
        </w:rPr>
      </w:pPr>
    </w:p>
    <w:p w:rsidR="0099610D" w:rsidRPr="00206989" w:rsidRDefault="0099610D" w:rsidP="0099610D">
      <w:pPr>
        <w:jc w:val="center"/>
        <w:rPr>
          <w:b/>
          <w:bCs/>
        </w:rPr>
      </w:pPr>
    </w:p>
    <w:p w:rsidR="0099610D" w:rsidRPr="00206989" w:rsidRDefault="0099610D" w:rsidP="0099610D">
      <w:pPr>
        <w:jc w:val="center"/>
        <w:rPr>
          <w:b/>
          <w:bCs/>
        </w:rPr>
      </w:pPr>
      <w:r w:rsidRPr="00206989">
        <w:rPr>
          <w:b/>
          <w:bCs/>
        </w:rPr>
        <w:t>Preşedintele Casei Naţionale de Asigurări de Sănătate</w:t>
      </w:r>
    </w:p>
    <w:p w:rsidR="0099610D" w:rsidRPr="00206989" w:rsidRDefault="0099610D" w:rsidP="0099610D">
      <w:pPr>
        <w:jc w:val="center"/>
        <w:rPr>
          <w:b/>
          <w:bCs/>
        </w:rPr>
      </w:pPr>
    </w:p>
    <w:p w:rsidR="00AD1234" w:rsidRDefault="00A32572" w:rsidP="00AD1234">
      <w:pPr>
        <w:jc w:val="center"/>
        <w:rPr>
          <w:b/>
          <w:bCs/>
        </w:rPr>
      </w:pPr>
      <w:r>
        <w:rPr>
          <w:b/>
          <w:bCs/>
        </w:rPr>
        <w:t>Dr. Valeria HERDEA</w:t>
      </w:r>
    </w:p>
    <w:p w:rsidR="0099610D" w:rsidRDefault="0099610D" w:rsidP="0099610D">
      <w:pPr>
        <w:jc w:val="center"/>
        <w:rPr>
          <w:b/>
          <w:bCs/>
        </w:rPr>
      </w:pPr>
    </w:p>
    <w:p w:rsidR="0099610D" w:rsidRDefault="0099610D" w:rsidP="0099610D">
      <w:pPr>
        <w:jc w:val="center"/>
        <w:rPr>
          <w:b/>
          <w:bCs/>
        </w:rPr>
      </w:pPr>
    </w:p>
    <w:p w:rsidR="0099610D" w:rsidRDefault="0099610D" w:rsidP="0099610D">
      <w:pPr>
        <w:jc w:val="center"/>
        <w:rPr>
          <w:b/>
          <w:bCs/>
        </w:rPr>
      </w:pPr>
    </w:p>
    <w:p w:rsidR="002F4D16" w:rsidRDefault="002F4D16" w:rsidP="0099610D">
      <w:pPr>
        <w:jc w:val="center"/>
        <w:rPr>
          <w:b/>
          <w:bCs/>
        </w:rPr>
      </w:pPr>
    </w:p>
    <w:p w:rsidR="0084185D" w:rsidRDefault="0084185D" w:rsidP="0099610D">
      <w:pPr>
        <w:jc w:val="center"/>
        <w:rPr>
          <w:b/>
          <w:bCs/>
        </w:rPr>
      </w:pPr>
    </w:p>
    <w:p w:rsidR="007731E1" w:rsidRDefault="007731E1" w:rsidP="007B2DFB">
      <w:pPr>
        <w:autoSpaceDE w:val="0"/>
        <w:autoSpaceDN w:val="0"/>
        <w:adjustRightInd w:val="0"/>
        <w:spacing w:line="276" w:lineRule="auto"/>
        <w:jc w:val="both"/>
        <w:rPr>
          <w:b/>
          <w:lang w:val="ro-RO"/>
        </w:rPr>
      </w:pPr>
    </w:p>
    <w:p w:rsidR="00880F66" w:rsidRDefault="00880F66" w:rsidP="007B2DFB">
      <w:pPr>
        <w:autoSpaceDE w:val="0"/>
        <w:autoSpaceDN w:val="0"/>
        <w:adjustRightInd w:val="0"/>
        <w:spacing w:line="276" w:lineRule="auto"/>
        <w:jc w:val="both"/>
        <w:rPr>
          <w:b/>
          <w:lang w:val="ro-RO"/>
        </w:rPr>
      </w:pPr>
    </w:p>
    <w:p w:rsidR="00880F66" w:rsidRDefault="00880F66" w:rsidP="007B2DFB">
      <w:pPr>
        <w:autoSpaceDE w:val="0"/>
        <w:autoSpaceDN w:val="0"/>
        <w:adjustRightInd w:val="0"/>
        <w:spacing w:line="276" w:lineRule="auto"/>
        <w:jc w:val="both"/>
        <w:rPr>
          <w:b/>
          <w:lang w:val="ro-RO"/>
        </w:rPr>
      </w:pPr>
    </w:p>
    <w:p w:rsidR="00880F66" w:rsidRDefault="00880F66" w:rsidP="007B2DFB">
      <w:pPr>
        <w:autoSpaceDE w:val="0"/>
        <w:autoSpaceDN w:val="0"/>
        <w:adjustRightInd w:val="0"/>
        <w:spacing w:line="276" w:lineRule="auto"/>
        <w:jc w:val="both"/>
        <w:rPr>
          <w:b/>
          <w:lang w:val="ro-RO"/>
        </w:rPr>
      </w:pPr>
    </w:p>
    <w:p w:rsidR="00880F66" w:rsidRDefault="00880F66" w:rsidP="007B2DFB">
      <w:pPr>
        <w:autoSpaceDE w:val="0"/>
        <w:autoSpaceDN w:val="0"/>
        <w:adjustRightInd w:val="0"/>
        <w:spacing w:line="276" w:lineRule="auto"/>
        <w:jc w:val="both"/>
        <w:rPr>
          <w:b/>
          <w:lang w:val="ro-RO"/>
        </w:rPr>
      </w:pPr>
    </w:p>
    <w:p w:rsidR="00880F66" w:rsidRDefault="00880F66" w:rsidP="007B2DFB">
      <w:pPr>
        <w:autoSpaceDE w:val="0"/>
        <w:autoSpaceDN w:val="0"/>
        <w:adjustRightInd w:val="0"/>
        <w:spacing w:line="276" w:lineRule="auto"/>
        <w:jc w:val="both"/>
        <w:rPr>
          <w:b/>
          <w:lang w:val="ro-RO"/>
        </w:rPr>
      </w:pPr>
    </w:p>
    <w:p w:rsidR="00880F66" w:rsidRDefault="00880F66" w:rsidP="007B2DFB">
      <w:pPr>
        <w:autoSpaceDE w:val="0"/>
        <w:autoSpaceDN w:val="0"/>
        <w:adjustRightInd w:val="0"/>
        <w:spacing w:line="276" w:lineRule="auto"/>
        <w:jc w:val="both"/>
        <w:rPr>
          <w:b/>
          <w:lang w:val="ro-RO"/>
        </w:rPr>
      </w:pPr>
    </w:p>
    <w:p w:rsidR="00880F66" w:rsidRDefault="00880F66" w:rsidP="007B2DFB">
      <w:pPr>
        <w:autoSpaceDE w:val="0"/>
        <w:autoSpaceDN w:val="0"/>
        <w:adjustRightInd w:val="0"/>
        <w:spacing w:line="276" w:lineRule="auto"/>
        <w:jc w:val="both"/>
        <w:rPr>
          <w:b/>
          <w:lang w:val="ro-RO"/>
        </w:rPr>
      </w:pPr>
    </w:p>
    <w:p w:rsidR="00880F66" w:rsidRDefault="00880F66" w:rsidP="007B2DFB">
      <w:pPr>
        <w:autoSpaceDE w:val="0"/>
        <w:autoSpaceDN w:val="0"/>
        <w:adjustRightInd w:val="0"/>
        <w:spacing w:line="276" w:lineRule="auto"/>
        <w:jc w:val="both"/>
        <w:rPr>
          <w:b/>
          <w:lang w:val="ro-RO"/>
        </w:rPr>
      </w:pPr>
    </w:p>
    <w:p w:rsidR="00880F66" w:rsidRDefault="00880F66" w:rsidP="007B2DFB">
      <w:pPr>
        <w:autoSpaceDE w:val="0"/>
        <w:autoSpaceDN w:val="0"/>
        <w:adjustRightInd w:val="0"/>
        <w:spacing w:line="276" w:lineRule="auto"/>
        <w:jc w:val="both"/>
        <w:rPr>
          <w:b/>
          <w:lang w:val="ro-RO"/>
        </w:rPr>
      </w:pPr>
    </w:p>
    <w:p w:rsidR="00880F66" w:rsidRDefault="00880F66" w:rsidP="007B2DFB">
      <w:pPr>
        <w:autoSpaceDE w:val="0"/>
        <w:autoSpaceDN w:val="0"/>
        <w:adjustRightInd w:val="0"/>
        <w:spacing w:line="276" w:lineRule="auto"/>
        <w:jc w:val="both"/>
        <w:rPr>
          <w:b/>
          <w:lang w:val="ro-RO"/>
        </w:rPr>
      </w:pPr>
    </w:p>
    <w:p w:rsidR="00880F66" w:rsidRDefault="00880F66" w:rsidP="007B2DFB">
      <w:pPr>
        <w:autoSpaceDE w:val="0"/>
        <w:autoSpaceDN w:val="0"/>
        <w:adjustRightInd w:val="0"/>
        <w:spacing w:line="276" w:lineRule="auto"/>
        <w:jc w:val="both"/>
        <w:rPr>
          <w:b/>
          <w:lang w:val="ro-RO"/>
        </w:rPr>
      </w:pPr>
    </w:p>
    <w:sectPr w:rsidR="00880F66" w:rsidSect="0084185D">
      <w:footerReference w:type="default" r:id="rId8"/>
      <w:pgSz w:w="11907" w:h="16840" w:code="9"/>
      <w:pgMar w:top="864" w:right="720" w:bottom="568" w:left="864" w:header="706" w:footer="27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B27" w:rsidRDefault="00813B27" w:rsidP="00926CC2">
      <w:r>
        <w:separator/>
      </w:r>
    </w:p>
  </w:endnote>
  <w:endnote w:type="continuationSeparator" w:id="0">
    <w:p w:rsidR="00813B27" w:rsidRDefault="00813B27" w:rsidP="0092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CC2" w:rsidRDefault="00926CC2">
    <w:pPr>
      <w:pStyle w:val="Footer"/>
      <w:jc w:val="center"/>
    </w:pPr>
    <w:r>
      <w:fldChar w:fldCharType="begin"/>
    </w:r>
    <w:r>
      <w:instrText xml:space="preserve"> PAGE   \* MERGEFORMAT </w:instrText>
    </w:r>
    <w:r>
      <w:fldChar w:fldCharType="separate"/>
    </w:r>
    <w:r w:rsidR="0027219F">
      <w:rPr>
        <w:noProof/>
      </w:rPr>
      <w:t>2</w:t>
    </w:r>
    <w:r>
      <w:rPr>
        <w:noProof/>
      </w:rPr>
      <w:fldChar w:fldCharType="end"/>
    </w:r>
  </w:p>
  <w:p w:rsidR="00926CC2" w:rsidRDefault="00926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B27" w:rsidRDefault="00813B27" w:rsidP="00926CC2">
      <w:r>
        <w:separator/>
      </w:r>
    </w:p>
  </w:footnote>
  <w:footnote w:type="continuationSeparator" w:id="0">
    <w:p w:rsidR="00813B27" w:rsidRDefault="00813B27" w:rsidP="00926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C13E"/>
      </v:shape>
    </w:pict>
  </w:numPicBullet>
  <w:abstractNum w:abstractNumId="0" w15:restartNumberingAfterBreak="0">
    <w:nsid w:val="079F1579"/>
    <w:multiLevelType w:val="hybridMultilevel"/>
    <w:tmpl w:val="91FAD0A0"/>
    <w:lvl w:ilvl="0" w:tplc="8D9AD78C">
      <w:start w:val="1"/>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1" w15:restartNumberingAfterBreak="0">
    <w:nsid w:val="07D41387"/>
    <w:multiLevelType w:val="hybridMultilevel"/>
    <w:tmpl w:val="6A12BE7E"/>
    <w:lvl w:ilvl="0" w:tplc="7568AD28">
      <w:start w:val="9"/>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15AAA"/>
    <w:multiLevelType w:val="hybridMultilevel"/>
    <w:tmpl w:val="39C4900A"/>
    <w:lvl w:ilvl="0" w:tplc="7A64E2FA">
      <w:start w:val="3"/>
      <w:numFmt w:val="lowerLetter"/>
      <w:lvlText w:val="%1)"/>
      <w:lvlJc w:val="left"/>
      <w:pPr>
        <w:ind w:left="5529" w:hanging="360"/>
      </w:pPr>
      <w:rPr>
        <w:rFonts w:ascii="Trebuchet MS" w:hAnsi="Trebuchet MS" w:hint="default"/>
        <w:color w:val="auto"/>
        <w:sz w:val="24"/>
      </w:rPr>
    </w:lvl>
    <w:lvl w:ilvl="1" w:tplc="04090019" w:tentative="1">
      <w:start w:val="1"/>
      <w:numFmt w:val="lowerLetter"/>
      <w:lvlText w:val="%2."/>
      <w:lvlJc w:val="left"/>
      <w:pPr>
        <w:ind w:left="6249" w:hanging="360"/>
      </w:pPr>
    </w:lvl>
    <w:lvl w:ilvl="2" w:tplc="0409001B" w:tentative="1">
      <w:start w:val="1"/>
      <w:numFmt w:val="lowerRoman"/>
      <w:lvlText w:val="%3."/>
      <w:lvlJc w:val="right"/>
      <w:pPr>
        <w:ind w:left="6969" w:hanging="180"/>
      </w:pPr>
    </w:lvl>
    <w:lvl w:ilvl="3" w:tplc="0409000F" w:tentative="1">
      <w:start w:val="1"/>
      <w:numFmt w:val="decimal"/>
      <w:lvlText w:val="%4."/>
      <w:lvlJc w:val="left"/>
      <w:pPr>
        <w:ind w:left="7689" w:hanging="360"/>
      </w:pPr>
    </w:lvl>
    <w:lvl w:ilvl="4" w:tplc="04090019" w:tentative="1">
      <w:start w:val="1"/>
      <w:numFmt w:val="lowerLetter"/>
      <w:lvlText w:val="%5."/>
      <w:lvlJc w:val="left"/>
      <w:pPr>
        <w:ind w:left="8409" w:hanging="360"/>
      </w:pPr>
    </w:lvl>
    <w:lvl w:ilvl="5" w:tplc="0409001B" w:tentative="1">
      <w:start w:val="1"/>
      <w:numFmt w:val="lowerRoman"/>
      <w:lvlText w:val="%6."/>
      <w:lvlJc w:val="right"/>
      <w:pPr>
        <w:ind w:left="9129" w:hanging="180"/>
      </w:pPr>
    </w:lvl>
    <w:lvl w:ilvl="6" w:tplc="0409000F" w:tentative="1">
      <w:start w:val="1"/>
      <w:numFmt w:val="decimal"/>
      <w:lvlText w:val="%7."/>
      <w:lvlJc w:val="left"/>
      <w:pPr>
        <w:ind w:left="9849" w:hanging="360"/>
      </w:pPr>
    </w:lvl>
    <w:lvl w:ilvl="7" w:tplc="04090019" w:tentative="1">
      <w:start w:val="1"/>
      <w:numFmt w:val="lowerLetter"/>
      <w:lvlText w:val="%8."/>
      <w:lvlJc w:val="left"/>
      <w:pPr>
        <w:ind w:left="10569" w:hanging="360"/>
      </w:pPr>
    </w:lvl>
    <w:lvl w:ilvl="8" w:tplc="0409001B" w:tentative="1">
      <w:start w:val="1"/>
      <w:numFmt w:val="lowerRoman"/>
      <w:lvlText w:val="%9."/>
      <w:lvlJc w:val="right"/>
      <w:pPr>
        <w:ind w:left="11289" w:hanging="180"/>
      </w:pPr>
    </w:lvl>
  </w:abstractNum>
  <w:abstractNum w:abstractNumId="3" w15:restartNumberingAfterBreak="0">
    <w:nsid w:val="0E3B3203"/>
    <w:multiLevelType w:val="hybridMultilevel"/>
    <w:tmpl w:val="5BFC574C"/>
    <w:lvl w:ilvl="0" w:tplc="5DF02114">
      <w:start w:val="1"/>
      <w:numFmt w:val="decimal"/>
      <w:lvlText w:val="%1."/>
      <w:lvlJc w:val="left"/>
      <w:pPr>
        <w:ind w:left="720" w:hanging="360"/>
      </w:pPr>
      <w:rPr>
        <w:rFonts w:eastAsia="Courier New"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14E1A6E"/>
    <w:multiLevelType w:val="hybridMultilevel"/>
    <w:tmpl w:val="7BCA5082"/>
    <w:lvl w:ilvl="0" w:tplc="0F8E2ED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34E5AFB"/>
    <w:multiLevelType w:val="hybridMultilevel"/>
    <w:tmpl w:val="28DCFD80"/>
    <w:lvl w:ilvl="0" w:tplc="703C0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D016F"/>
    <w:multiLevelType w:val="hybridMultilevel"/>
    <w:tmpl w:val="D0B6591A"/>
    <w:lvl w:ilvl="0" w:tplc="8F809C6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9716B"/>
    <w:multiLevelType w:val="hybridMultilevel"/>
    <w:tmpl w:val="5798DDBC"/>
    <w:lvl w:ilvl="0" w:tplc="2856C48C">
      <w:start w:val="1"/>
      <w:numFmt w:val="upperRoman"/>
      <w:lvlText w:val="%1."/>
      <w:lvlJc w:val="right"/>
      <w:pPr>
        <w:ind w:left="972" w:hanging="360"/>
      </w:pPr>
      <w:rPr>
        <w:rFonts w:hint="default"/>
        <w:b/>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8" w15:restartNumberingAfterBreak="0">
    <w:nsid w:val="1794462F"/>
    <w:multiLevelType w:val="hybridMultilevel"/>
    <w:tmpl w:val="F8986694"/>
    <w:lvl w:ilvl="0" w:tplc="BC08EDD8">
      <w:start w:val="1"/>
      <w:numFmt w:val="decimal"/>
      <w:lvlText w:val="%1."/>
      <w:lvlJc w:val="left"/>
      <w:pPr>
        <w:ind w:left="894" w:hanging="360"/>
      </w:pPr>
      <w:rPr>
        <w:rFonts w:hint="default"/>
      </w:rPr>
    </w:lvl>
    <w:lvl w:ilvl="1" w:tplc="04180019" w:tentative="1">
      <w:start w:val="1"/>
      <w:numFmt w:val="lowerLetter"/>
      <w:lvlText w:val="%2."/>
      <w:lvlJc w:val="left"/>
      <w:pPr>
        <w:ind w:left="1614" w:hanging="360"/>
      </w:pPr>
    </w:lvl>
    <w:lvl w:ilvl="2" w:tplc="0418001B" w:tentative="1">
      <w:start w:val="1"/>
      <w:numFmt w:val="lowerRoman"/>
      <w:lvlText w:val="%3."/>
      <w:lvlJc w:val="right"/>
      <w:pPr>
        <w:ind w:left="2334" w:hanging="180"/>
      </w:pPr>
    </w:lvl>
    <w:lvl w:ilvl="3" w:tplc="0418000F" w:tentative="1">
      <w:start w:val="1"/>
      <w:numFmt w:val="decimal"/>
      <w:lvlText w:val="%4."/>
      <w:lvlJc w:val="left"/>
      <w:pPr>
        <w:ind w:left="3054" w:hanging="360"/>
      </w:pPr>
    </w:lvl>
    <w:lvl w:ilvl="4" w:tplc="04180019" w:tentative="1">
      <w:start w:val="1"/>
      <w:numFmt w:val="lowerLetter"/>
      <w:lvlText w:val="%5."/>
      <w:lvlJc w:val="left"/>
      <w:pPr>
        <w:ind w:left="3774" w:hanging="360"/>
      </w:pPr>
    </w:lvl>
    <w:lvl w:ilvl="5" w:tplc="0418001B" w:tentative="1">
      <w:start w:val="1"/>
      <w:numFmt w:val="lowerRoman"/>
      <w:lvlText w:val="%6."/>
      <w:lvlJc w:val="right"/>
      <w:pPr>
        <w:ind w:left="4494" w:hanging="180"/>
      </w:pPr>
    </w:lvl>
    <w:lvl w:ilvl="6" w:tplc="0418000F" w:tentative="1">
      <w:start w:val="1"/>
      <w:numFmt w:val="decimal"/>
      <w:lvlText w:val="%7."/>
      <w:lvlJc w:val="left"/>
      <w:pPr>
        <w:ind w:left="5214" w:hanging="360"/>
      </w:pPr>
    </w:lvl>
    <w:lvl w:ilvl="7" w:tplc="04180019" w:tentative="1">
      <w:start w:val="1"/>
      <w:numFmt w:val="lowerLetter"/>
      <w:lvlText w:val="%8."/>
      <w:lvlJc w:val="left"/>
      <w:pPr>
        <w:ind w:left="5934" w:hanging="360"/>
      </w:pPr>
    </w:lvl>
    <w:lvl w:ilvl="8" w:tplc="0418001B" w:tentative="1">
      <w:start w:val="1"/>
      <w:numFmt w:val="lowerRoman"/>
      <w:lvlText w:val="%9."/>
      <w:lvlJc w:val="right"/>
      <w:pPr>
        <w:ind w:left="6654" w:hanging="180"/>
      </w:pPr>
    </w:lvl>
  </w:abstractNum>
  <w:abstractNum w:abstractNumId="9" w15:restartNumberingAfterBreak="0">
    <w:nsid w:val="1A9615E2"/>
    <w:multiLevelType w:val="hybridMultilevel"/>
    <w:tmpl w:val="B8788626"/>
    <w:lvl w:ilvl="0" w:tplc="6A2E0716">
      <w:start w:val="2"/>
      <w:numFmt w:val="bullet"/>
      <w:lvlText w:val="-"/>
      <w:lvlJc w:val="left"/>
      <w:pPr>
        <w:ind w:left="1039" w:hanging="360"/>
      </w:pPr>
      <w:rPr>
        <w:rFonts w:ascii="Calibri" w:eastAsia="Times New Roman" w:hAnsi="Calibri"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0" w15:restartNumberingAfterBreak="0">
    <w:nsid w:val="1AD47EE7"/>
    <w:multiLevelType w:val="multilevel"/>
    <w:tmpl w:val="1D1E58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7C53E1"/>
    <w:multiLevelType w:val="multilevel"/>
    <w:tmpl w:val="43F8EF56"/>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CF7AD8"/>
    <w:multiLevelType w:val="hybridMultilevel"/>
    <w:tmpl w:val="1C927058"/>
    <w:lvl w:ilvl="0" w:tplc="7A326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444CC"/>
    <w:multiLevelType w:val="hybridMultilevel"/>
    <w:tmpl w:val="E8CA3DFA"/>
    <w:lvl w:ilvl="0" w:tplc="0418000F">
      <w:start w:val="2"/>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86681C8">
      <w:numFmt w:val="bullet"/>
      <w:lvlText w:val="-"/>
      <w:lvlJc w:val="left"/>
      <w:pPr>
        <w:ind w:left="2340"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F283F71"/>
    <w:multiLevelType w:val="hybridMultilevel"/>
    <w:tmpl w:val="4000A38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2F64436"/>
    <w:multiLevelType w:val="hybridMultilevel"/>
    <w:tmpl w:val="7BC6F766"/>
    <w:lvl w:ilvl="0" w:tplc="C53AF630">
      <w:start w:val="1"/>
      <w:numFmt w:val="lowerLetter"/>
      <w:lvlText w:val="%1)"/>
      <w:lvlJc w:val="left"/>
      <w:pPr>
        <w:ind w:left="1179" w:hanging="360"/>
      </w:pPr>
      <w:rPr>
        <w:rFonts w:hint="default"/>
        <w:color w:val="auto"/>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6" w15:restartNumberingAfterBreak="0">
    <w:nsid w:val="36A1758B"/>
    <w:multiLevelType w:val="hybridMultilevel"/>
    <w:tmpl w:val="CDE0C296"/>
    <w:lvl w:ilvl="0" w:tplc="18DAB71A">
      <w:start w:val="1"/>
      <w:numFmt w:val="upperRoman"/>
      <w:lvlText w:val="%1."/>
      <w:lvlJc w:val="left"/>
      <w:pPr>
        <w:ind w:left="1422" w:hanging="720"/>
      </w:pPr>
      <w:rPr>
        <w:rFonts w:hint="default"/>
      </w:r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17" w15:restartNumberingAfterBreak="0">
    <w:nsid w:val="38706BC9"/>
    <w:multiLevelType w:val="hybridMultilevel"/>
    <w:tmpl w:val="ED489524"/>
    <w:lvl w:ilvl="0" w:tplc="EF54EACC">
      <w:start w:val="1"/>
      <w:numFmt w:val="lowerLetter"/>
      <w:lvlText w:val="%1)"/>
      <w:lvlJc w:val="left"/>
      <w:pPr>
        <w:ind w:left="720" w:hanging="360"/>
      </w:pPr>
      <w:rPr>
        <w:rFonts w:ascii="Times New Roman" w:hAnsi="Times New Roman" w:cs="Times New Roman"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F153FDE"/>
    <w:multiLevelType w:val="hybridMultilevel"/>
    <w:tmpl w:val="DD244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33A77"/>
    <w:multiLevelType w:val="hybridMultilevel"/>
    <w:tmpl w:val="DBAA8638"/>
    <w:lvl w:ilvl="0" w:tplc="7A326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025FD"/>
    <w:multiLevelType w:val="hybridMultilevel"/>
    <w:tmpl w:val="DEAAC252"/>
    <w:lvl w:ilvl="0" w:tplc="2CDA0FA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60F5E8F"/>
    <w:multiLevelType w:val="hybridMultilevel"/>
    <w:tmpl w:val="96D27098"/>
    <w:lvl w:ilvl="0" w:tplc="04180001">
      <w:start w:val="1"/>
      <w:numFmt w:val="bullet"/>
      <w:lvlText w:val=""/>
      <w:lvlJc w:val="left"/>
      <w:pPr>
        <w:tabs>
          <w:tab w:val="num" w:pos="972"/>
        </w:tabs>
        <w:ind w:left="972" w:hanging="360"/>
      </w:pPr>
      <w:rPr>
        <w:rFonts w:ascii="Symbol" w:hAnsi="Symbol" w:hint="default"/>
      </w:rPr>
    </w:lvl>
    <w:lvl w:ilvl="1" w:tplc="04180003" w:tentative="1">
      <w:start w:val="1"/>
      <w:numFmt w:val="bullet"/>
      <w:lvlText w:val="o"/>
      <w:lvlJc w:val="left"/>
      <w:pPr>
        <w:tabs>
          <w:tab w:val="num" w:pos="1692"/>
        </w:tabs>
        <w:ind w:left="1692" w:hanging="360"/>
      </w:pPr>
      <w:rPr>
        <w:rFonts w:ascii="Courier New" w:hAnsi="Courier New" w:cs="Courier New" w:hint="default"/>
      </w:rPr>
    </w:lvl>
    <w:lvl w:ilvl="2" w:tplc="04180005" w:tentative="1">
      <w:start w:val="1"/>
      <w:numFmt w:val="bullet"/>
      <w:lvlText w:val=""/>
      <w:lvlJc w:val="left"/>
      <w:pPr>
        <w:tabs>
          <w:tab w:val="num" w:pos="2412"/>
        </w:tabs>
        <w:ind w:left="2412" w:hanging="360"/>
      </w:pPr>
      <w:rPr>
        <w:rFonts w:ascii="Wingdings" w:hAnsi="Wingdings" w:hint="default"/>
      </w:rPr>
    </w:lvl>
    <w:lvl w:ilvl="3" w:tplc="04180001" w:tentative="1">
      <w:start w:val="1"/>
      <w:numFmt w:val="bullet"/>
      <w:lvlText w:val=""/>
      <w:lvlJc w:val="left"/>
      <w:pPr>
        <w:tabs>
          <w:tab w:val="num" w:pos="3132"/>
        </w:tabs>
        <w:ind w:left="3132" w:hanging="360"/>
      </w:pPr>
      <w:rPr>
        <w:rFonts w:ascii="Symbol" w:hAnsi="Symbol" w:hint="default"/>
      </w:rPr>
    </w:lvl>
    <w:lvl w:ilvl="4" w:tplc="04180003" w:tentative="1">
      <w:start w:val="1"/>
      <w:numFmt w:val="bullet"/>
      <w:lvlText w:val="o"/>
      <w:lvlJc w:val="left"/>
      <w:pPr>
        <w:tabs>
          <w:tab w:val="num" w:pos="3852"/>
        </w:tabs>
        <w:ind w:left="3852" w:hanging="360"/>
      </w:pPr>
      <w:rPr>
        <w:rFonts w:ascii="Courier New" w:hAnsi="Courier New" w:cs="Courier New" w:hint="default"/>
      </w:rPr>
    </w:lvl>
    <w:lvl w:ilvl="5" w:tplc="04180005" w:tentative="1">
      <w:start w:val="1"/>
      <w:numFmt w:val="bullet"/>
      <w:lvlText w:val=""/>
      <w:lvlJc w:val="left"/>
      <w:pPr>
        <w:tabs>
          <w:tab w:val="num" w:pos="4572"/>
        </w:tabs>
        <w:ind w:left="4572" w:hanging="360"/>
      </w:pPr>
      <w:rPr>
        <w:rFonts w:ascii="Wingdings" w:hAnsi="Wingdings" w:hint="default"/>
      </w:rPr>
    </w:lvl>
    <w:lvl w:ilvl="6" w:tplc="04180001" w:tentative="1">
      <w:start w:val="1"/>
      <w:numFmt w:val="bullet"/>
      <w:lvlText w:val=""/>
      <w:lvlJc w:val="left"/>
      <w:pPr>
        <w:tabs>
          <w:tab w:val="num" w:pos="5292"/>
        </w:tabs>
        <w:ind w:left="5292" w:hanging="360"/>
      </w:pPr>
      <w:rPr>
        <w:rFonts w:ascii="Symbol" w:hAnsi="Symbol" w:hint="default"/>
      </w:rPr>
    </w:lvl>
    <w:lvl w:ilvl="7" w:tplc="04180003" w:tentative="1">
      <w:start w:val="1"/>
      <w:numFmt w:val="bullet"/>
      <w:lvlText w:val="o"/>
      <w:lvlJc w:val="left"/>
      <w:pPr>
        <w:tabs>
          <w:tab w:val="num" w:pos="6012"/>
        </w:tabs>
        <w:ind w:left="6012" w:hanging="360"/>
      </w:pPr>
      <w:rPr>
        <w:rFonts w:ascii="Courier New" w:hAnsi="Courier New" w:cs="Courier New" w:hint="default"/>
      </w:rPr>
    </w:lvl>
    <w:lvl w:ilvl="8" w:tplc="04180005" w:tentative="1">
      <w:start w:val="1"/>
      <w:numFmt w:val="bullet"/>
      <w:lvlText w:val=""/>
      <w:lvlJc w:val="left"/>
      <w:pPr>
        <w:tabs>
          <w:tab w:val="num" w:pos="6732"/>
        </w:tabs>
        <w:ind w:left="6732" w:hanging="360"/>
      </w:pPr>
      <w:rPr>
        <w:rFonts w:ascii="Wingdings" w:hAnsi="Wingdings" w:hint="default"/>
      </w:rPr>
    </w:lvl>
  </w:abstractNum>
  <w:abstractNum w:abstractNumId="22" w15:restartNumberingAfterBreak="0">
    <w:nsid w:val="48EC51DA"/>
    <w:multiLevelType w:val="hybridMultilevel"/>
    <w:tmpl w:val="5C40967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44A5B"/>
    <w:multiLevelType w:val="hybridMultilevel"/>
    <w:tmpl w:val="C43CE906"/>
    <w:lvl w:ilvl="0" w:tplc="132A7958">
      <w:start w:val="5"/>
      <w:numFmt w:val="upperRoman"/>
      <w:lvlText w:val="%1."/>
      <w:lvlJc w:val="left"/>
      <w:pPr>
        <w:ind w:left="1332" w:hanging="720"/>
      </w:pPr>
      <w:rPr>
        <w:rFonts w:hint="default"/>
      </w:rPr>
    </w:lvl>
    <w:lvl w:ilvl="1" w:tplc="08090019" w:tentative="1">
      <w:start w:val="1"/>
      <w:numFmt w:val="lowerLetter"/>
      <w:lvlText w:val="%2."/>
      <w:lvlJc w:val="left"/>
      <w:pPr>
        <w:ind w:left="1692" w:hanging="360"/>
      </w:pPr>
    </w:lvl>
    <w:lvl w:ilvl="2" w:tplc="0809001B" w:tentative="1">
      <w:start w:val="1"/>
      <w:numFmt w:val="lowerRoman"/>
      <w:lvlText w:val="%3."/>
      <w:lvlJc w:val="right"/>
      <w:pPr>
        <w:ind w:left="2412" w:hanging="180"/>
      </w:pPr>
    </w:lvl>
    <w:lvl w:ilvl="3" w:tplc="0809000F" w:tentative="1">
      <w:start w:val="1"/>
      <w:numFmt w:val="decimal"/>
      <w:lvlText w:val="%4."/>
      <w:lvlJc w:val="left"/>
      <w:pPr>
        <w:ind w:left="3132" w:hanging="360"/>
      </w:pPr>
    </w:lvl>
    <w:lvl w:ilvl="4" w:tplc="08090019" w:tentative="1">
      <w:start w:val="1"/>
      <w:numFmt w:val="lowerLetter"/>
      <w:lvlText w:val="%5."/>
      <w:lvlJc w:val="left"/>
      <w:pPr>
        <w:ind w:left="3852" w:hanging="360"/>
      </w:pPr>
    </w:lvl>
    <w:lvl w:ilvl="5" w:tplc="0809001B" w:tentative="1">
      <w:start w:val="1"/>
      <w:numFmt w:val="lowerRoman"/>
      <w:lvlText w:val="%6."/>
      <w:lvlJc w:val="right"/>
      <w:pPr>
        <w:ind w:left="4572" w:hanging="180"/>
      </w:pPr>
    </w:lvl>
    <w:lvl w:ilvl="6" w:tplc="0809000F" w:tentative="1">
      <w:start w:val="1"/>
      <w:numFmt w:val="decimal"/>
      <w:lvlText w:val="%7."/>
      <w:lvlJc w:val="left"/>
      <w:pPr>
        <w:ind w:left="5292" w:hanging="360"/>
      </w:pPr>
    </w:lvl>
    <w:lvl w:ilvl="7" w:tplc="08090019" w:tentative="1">
      <w:start w:val="1"/>
      <w:numFmt w:val="lowerLetter"/>
      <w:lvlText w:val="%8."/>
      <w:lvlJc w:val="left"/>
      <w:pPr>
        <w:ind w:left="6012" w:hanging="360"/>
      </w:pPr>
    </w:lvl>
    <w:lvl w:ilvl="8" w:tplc="0809001B" w:tentative="1">
      <w:start w:val="1"/>
      <w:numFmt w:val="lowerRoman"/>
      <w:lvlText w:val="%9."/>
      <w:lvlJc w:val="right"/>
      <w:pPr>
        <w:ind w:left="6732" w:hanging="180"/>
      </w:pPr>
    </w:lvl>
  </w:abstractNum>
  <w:abstractNum w:abstractNumId="24" w15:restartNumberingAfterBreak="0">
    <w:nsid w:val="4A475AC0"/>
    <w:multiLevelType w:val="hybridMultilevel"/>
    <w:tmpl w:val="683A10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D306AA6"/>
    <w:multiLevelType w:val="hybridMultilevel"/>
    <w:tmpl w:val="B69AAB1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251117E"/>
    <w:multiLevelType w:val="hybridMultilevel"/>
    <w:tmpl w:val="DF624C38"/>
    <w:lvl w:ilvl="0" w:tplc="04180001">
      <w:start w:val="1"/>
      <w:numFmt w:val="bullet"/>
      <w:lvlText w:val=""/>
      <w:lvlJc w:val="left"/>
      <w:pPr>
        <w:ind w:left="768" w:hanging="360"/>
      </w:pPr>
      <w:rPr>
        <w:rFonts w:ascii="Symbol" w:hAnsi="Symbol" w:hint="default"/>
      </w:rPr>
    </w:lvl>
    <w:lvl w:ilvl="1" w:tplc="04180003" w:tentative="1">
      <w:start w:val="1"/>
      <w:numFmt w:val="bullet"/>
      <w:lvlText w:val="o"/>
      <w:lvlJc w:val="left"/>
      <w:pPr>
        <w:ind w:left="1488" w:hanging="360"/>
      </w:pPr>
      <w:rPr>
        <w:rFonts w:ascii="Courier New" w:hAnsi="Courier New" w:cs="Courier New" w:hint="default"/>
      </w:rPr>
    </w:lvl>
    <w:lvl w:ilvl="2" w:tplc="04180005" w:tentative="1">
      <w:start w:val="1"/>
      <w:numFmt w:val="bullet"/>
      <w:lvlText w:val=""/>
      <w:lvlJc w:val="left"/>
      <w:pPr>
        <w:ind w:left="2208" w:hanging="360"/>
      </w:pPr>
      <w:rPr>
        <w:rFonts w:ascii="Wingdings" w:hAnsi="Wingdings" w:hint="default"/>
      </w:rPr>
    </w:lvl>
    <w:lvl w:ilvl="3" w:tplc="04180001" w:tentative="1">
      <w:start w:val="1"/>
      <w:numFmt w:val="bullet"/>
      <w:lvlText w:val=""/>
      <w:lvlJc w:val="left"/>
      <w:pPr>
        <w:ind w:left="2928" w:hanging="360"/>
      </w:pPr>
      <w:rPr>
        <w:rFonts w:ascii="Symbol" w:hAnsi="Symbol" w:hint="default"/>
      </w:rPr>
    </w:lvl>
    <w:lvl w:ilvl="4" w:tplc="04180003" w:tentative="1">
      <w:start w:val="1"/>
      <w:numFmt w:val="bullet"/>
      <w:lvlText w:val="o"/>
      <w:lvlJc w:val="left"/>
      <w:pPr>
        <w:ind w:left="3648" w:hanging="360"/>
      </w:pPr>
      <w:rPr>
        <w:rFonts w:ascii="Courier New" w:hAnsi="Courier New" w:cs="Courier New" w:hint="default"/>
      </w:rPr>
    </w:lvl>
    <w:lvl w:ilvl="5" w:tplc="04180005" w:tentative="1">
      <w:start w:val="1"/>
      <w:numFmt w:val="bullet"/>
      <w:lvlText w:val=""/>
      <w:lvlJc w:val="left"/>
      <w:pPr>
        <w:ind w:left="4368" w:hanging="360"/>
      </w:pPr>
      <w:rPr>
        <w:rFonts w:ascii="Wingdings" w:hAnsi="Wingdings" w:hint="default"/>
      </w:rPr>
    </w:lvl>
    <w:lvl w:ilvl="6" w:tplc="04180001" w:tentative="1">
      <w:start w:val="1"/>
      <w:numFmt w:val="bullet"/>
      <w:lvlText w:val=""/>
      <w:lvlJc w:val="left"/>
      <w:pPr>
        <w:ind w:left="5088" w:hanging="360"/>
      </w:pPr>
      <w:rPr>
        <w:rFonts w:ascii="Symbol" w:hAnsi="Symbol" w:hint="default"/>
      </w:rPr>
    </w:lvl>
    <w:lvl w:ilvl="7" w:tplc="04180003" w:tentative="1">
      <w:start w:val="1"/>
      <w:numFmt w:val="bullet"/>
      <w:lvlText w:val="o"/>
      <w:lvlJc w:val="left"/>
      <w:pPr>
        <w:ind w:left="5808" w:hanging="360"/>
      </w:pPr>
      <w:rPr>
        <w:rFonts w:ascii="Courier New" w:hAnsi="Courier New" w:cs="Courier New" w:hint="default"/>
      </w:rPr>
    </w:lvl>
    <w:lvl w:ilvl="8" w:tplc="04180005" w:tentative="1">
      <w:start w:val="1"/>
      <w:numFmt w:val="bullet"/>
      <w:lvlText w:val=""/>
      <w:lvlJc w:val="left"/>
      <w:pPr>
        <w:ind w:left="6528" w:hanging="360"/>
      </w:pPr>
      <w:rPr>
        <w:rFonts w:ascii="Wingdings" w:hAnsi="Wingdings" w:hint="default"/>
      </w:rPr>
    </w:lvl>
  </w:abstractNum>
  <w:abstractNum w:abstractNumId="27" w15:restartNumberingAfterBreak="0">
    <w:nsid w:val="6C210F22"/>
    <w:multiLevelType w:val="hybridMultilevel"/>
    <w:tmpl w:val="7038A0F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FC0BE9"/>
    <w:multiLevelType w:val="multilevel"/>
    <w:tmpl w:val="440852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4F23541"/>
    <w:multiLevelType w:val="hybridMultilevel"/>
    <w:tmpl w:val="9042C014"/>
    <w:lvl w:ilvl="0" w:tplc="24DC8360">
      <w:numFmt w:val="bullet"/>
      <w:lvlText w:val="-"/>
      <w:lvlJc w:val="left"/>
      <w:pPr>
        <w:tabs>
          <w:tab w:val="num" w:pos="612"/>
        </w:tabs>
        <w:ind w:left="612" w:hanging="360"/>
      </w:pPr>
      <w:rPr>
        <w:rFonts w:ascii="Times New Roman" w:eastAsia="Times New Roman" w:hAnsi="Times New Roman" w:cs="Times New Roman" w:hint="default"/>
      </w:rPr>
    </w:lvl>
    <w:lvl w:ilvl="1" w:tplc="04180003" w:tentative="1">
      <w:start w:val="1"/>
      <w:numFmt w:val="bullet"/>
      <w:lvlText w:val="o"/>
      <w:lvlJc w:val="left"/>
      <w:pPr>
        <w:tabs>
          <w:tab w:val="num" w:pos="1332"/>
        </w:tabs>
        <w:ind w:left="1332" w:hanging="360"/>
      </w:pPr>
      <w:rPr>
        <w:rFonts w:ascii="Courier New" w:hAnsi="Courier New" w:cs="Courier New" w:hint="default"/>
      </w:rPr>
    </w:lvl>
    <w:lvl w:ilvl="2" w:tplc="04180005" w:tentative="1">
      <w:start w:val="1"/>
      <w:numFmt w:val="bullet"/>
      <w:lvlText w:val=""/>
      <w:lvlJc w:val="left"/>
      <w:pPr>
        <w:tabs>
          <w:tab w:val="num" w:pos="2052"/>
        </w:tabs>
        <w:ind w:left="2052" w:hanging="360"/>
      </w:pPr>
      <w:rPr>
        <w:rFonts w:ascii="Wingdings" w:hAnsi="Wingdings" w:hint="default"/>
      </w:rPr>
    </w:lvl>
    <w:lvl w:ilvl="3" w:tplc="04180001" w:tentative="1">
      <w:start w:val="1"/>
      <w:numFmt w:val="bullet"/>
      <w:lvlText w:val=""/>
      <w:lvlJc w:val="left"/>
      <w:pPr>
        <w:tabs>
          <w:tab w:val="num" w:pos="2772"/>
        </w:tabs>
        <w:ind w:left="2772" w:hanging="360"/>
      </w:pPr>
      <w:rPr>
        <w:rFonts w:ascii="Symbol" w:hAnsi="Symbol" w:hint="default"/>
      </w:rPr>
    </w:lvl>
    <w:lvl w:ilvl="4" w:tplc="04180003" w:tentative="1">
      <w:start w:val="1"/>
      <w:numFmt w:val="bullet"/>
      <w:lvlText w:val="o"/>
      <w:lvlJc w:val="left"/>
      <w:pPr>
        <w:tabs>
          <w:tab w:val="num" w:pos="3492"/>
        </w:tabs>
        <w:ind w:left="3492" w:hanging="360"/>
      </w:pPr>
      <w:rPr>
        <w:rFonts w:ascii="Courier New" w:hAnsi="Courier New" w:cs="Courier New" w:hint="default"/>
      </w:rPr>
    </w:lvl>
    <w:lvl w:ilvl="5" w:tplc="04180005" w:tentative="1">
      <w:start w:val="1"/>
      <w:numFmt w:val="bullet"/>
      <w:lvlText w:val=""/>
      <w:lvlJc w:val="left"/>
      <w:pPr>
        <w:tabs>
          <w:tab w:val="num" w:pos="4212"/>
        </w:tabs>
        <w:ind w:left="4212" w:hanging="360"/>
      </w:pPr>
      <w:rPr>
        <w:rFonts w:ascii="Wingdings" w:hAnsi="Wingdings" w:hint="default"/>
      </w:rPr>
    </w:lvl>
    <w:lvl w:ilvl="6" w:tplc="04180001" w:tentative="1">
      <w:start w:val="1"/>
      <w:numFmt w:val="bullet"/>
      <w:lvlText w:val=""/>
      <w:lvlJc w:val="left"/>
      <w:pPr>
        <w:tabs>
          <w:tab w:val="num" w:pos="4932"/>
        </w:tabs>
        <w:ind w:left="4932" w:hanging="360"/>
      </w:pPr>
      <w:rPr>
        <w:rFonts w:ascii="Symbol" w:hAnsi="Symbol" w:hint="default"/>
      </w:rPr>
    </w:lvl>
    <w:lvl w:ilvl="7" w:tplc="04180003" w:tentative="1">
      <w:start w:val="1"/>
      <w:numFmt w:val="bullet"/>
      <w:lvlText w:val="o"/>
      <w:lvlJc w:val="left"/>
      <w:pPr>
        <w:tabs>
          <w:tab w:val="num" w:pos="5652"/>
        </w:tabs>
        <w:ind w:left="5652" w:hanging="360"/>
      </w:pPr>
      <w:rPr>
        <w:rFonts w:ascii="Courier New" w:hAnsi="Courier New" w:cs="Courier New" w:hint="default"/>
      </w:rPr>
    </w:lvl>
    <w:lvl w:ilvl="8" w:tplc="04180005" w:tentative="1">
      <w:start w:val="1"/>
      <w:numFmt w:val="bullet"/>
      <w:lvlText w:val=""/>
      <w:lvlJc w:val="left"/>
      <w:pPr>
        <w:tabs>
          <w:tab w:val="num" w:pos="6372"/>
        </w:tabs>
        <w:ind w:left="6372" w:hanging="360"/>
      </w:pPr>
      <w:rPr>
        <w:rFonts w:ascii="Wingdings" w:hAnsi="Wingdings" w:hint="default"/>
      </w:rPr>
    </w:lvl>
  </w:abstractNum>
  <w:abstractNum w:abstractNumId="30" w15:restartNumberingAfterBreak="0">
    <w:nsid w:val="75522E41"/>
    <w:multiLevelType w:val="hybridMultilevel"/>
    <w:tmpl w:val="6F9877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75689F"/>
    <w:multiLevelType w:val="hybridMultilevel"/>
    <w:tmpl w:val="7EC618E2"/>
    <w:lvl w:ilvl="0" w:tplc="40CA01EE">
      <w:start w:val="2"/>
      <w:numFmt w:val="bullet"/>
      <w:lvlText w:val="-"/>
      <w:lvlJc w:val="left"/>
      <w:pPr>
        <w:ind w:left="720" w:hanging="360"/>
      </w:pPr>
      <w:rPr>
        <w:rFonts w:ascii="Arial" w:eastAsia="Trebuchet MS" w:hAnsi="Arial" w:cs="Arial"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9"/>
  </w:num>
  <w:num w:numId="5">
    <w:abstractNumId w:val="27"/>
  </w:num>
  <w:num w:numId="6">
    <w:abstractNumId w:val="7"/>
  </w:num>
  <w:num w:numId="7">
    <w:abstractNumId w:val="15"/>
  </w:num>
  <w:num w:numId="8">
    <w:abstractNumId w:val="2"/>
  </w:num>
  <w:num w:numId="9">
    <w:abstractNumId w:val="4"/>
  </w:num>
  <w:num w:numId="10">
    <w:abstractNumId w:val="19"/>
  </w:num>
  <w:num w:numId="11">
    <w:abstractNumId w:val="6"/>
  </w:num>
  <w:num w:numId="12">
    <w:abstractNumId w:val="12"/>
  </w:num>
  <w:num w:numId="13">
    <w:abstractNumId w:val="16"/>
  </w:num>
  <w:num w:numId="14">
    <w:abstractNumId w:val="23"/>
  </w:num>
  <w:num w:numId="15">
    <w:abstractNumId w:val="20"/>
  </w:num>
  <w:num w:numId="16">
    <w:abstractNumId w:val="22"/>
  </w:num>
  <w:num w:numId="17">
    <w:abstractNumId w:val="13"/>
  </w:num>
  <w:num w:numId="18">
    <w:abstractNumId w:val="14"/>
  </w:num>
  <w:num w:numId="19">
    <w:abstractNumId w:val="3"/>
  </w:num>
  <w:num w:numId="20">
    <w:abstractNumId w:val="31"/>
  </w:num>
  <w:num w:numId="21">
    <w:abstractNumId w:val="17"/>
  </w:num>
  <w:num w:numId="22">
    <w:abstractNumId w:val="5"/>
  </w:num>
  <w:num w:numId="23">
    <w:abstractNumId w:val="26"/>
  </w:num>
  <w:num w:numId="24">
    <w:abstractNumId w:val="1"/>
  </w:num>
  <w:num w:numId="25">
    <w:abstractNumId w:val="18"/>
  </w:num>
  <w:num w:numId="26">
    <w:abstractNumId w:val="0"/>
  </w:num>
  <w:num w:numId="27">
    <w:abstractNumId w:val="24"/>
  </w:num>
  <w:num w:numId="28">
    <w:abstractNumId w:val="8"/>
  </w:num>
  <w:num w:numId="29">
    <w:abstractNumId w:val="9"/>
  </w:num>
  <w:num w:numId="30">
    <w:abstractNumId w:val="10"/>
  </w:num>
  <w:num w:numId="31">
    <w:abstractNumId w:val="11"/>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EA"/>
    <w:rsid w:val="00001FC3"/>
    <w:rsid w:val="0000395A"/>
    <w:rsid w:val="00003F7F"/>
    <w:rsid w:val="00005027"/>
    <w:rsid w:val="00005827"/>
    <w:rsid w:val="00006BBD"/>
    <w:rsid w:val="00006CF0"/>
    <w:rsid w:val="00007260"/>
    <w:rsid w:val="00010682"/>
    <w:rsid w:val="00012EB5"/>
    <w:rsid w:val="000137F8"/>
    <w:rsid w:val="000163D9"/>
    <w:rsid w:val="0001723F"/>
    <w:rsid w:val="00017D8C"/>
    <w:rsid w:val="000200D1"/>
    <w:rsid w:val="0002289A"/>
    <w:rsid w:val="000248AB"/>
    <w:rsid w:val="0002584C"/>
    <w:rsid w:val="00027B65"/>
    <w:rsid w:val="00027D1C"/>
    <w:rsid w:val="00033E1B"/>
    <w:rsid w:val="00033F6E"/>
    <w:rsid w:val="000378F1"/>
    <w:rsid w:val="000409B5"/>
    <w:rsid w:val="00042280"/>
    <w:rsid w:val="000430EA"/>
    <w:rsid w:val="00043DCF"/>
    <w:rsid w:val="00044B37"/>
    <w:rsid w:val="00044C9C"/>
    <w:rsid w:val="000452E7"/>
    <w:rsid w:val="00051887"/>
    <w:rsid w:val="00052C75"/>
    <w:rsid w:val="000545BB"/>
    <w:rsid w:val="0005484B"/>
    <w:rsid w:val="00055213"/>
    <w:rsid w:val="00055415"/>
    <w:rsid w:val="000559D1"/>
    <w:rsid w:val="00060FDE"/>
    <w:rsid w:val="00061090"/>
    <w:rsid w:val="0006293C"/>
    <w:rsid w:val="000632B5"/>
    <w:rsid w:val="000665A3"/>
    <w:rsid w:val="0006696A"/>
    <w:rsid w:val="00070CF7"/>
    <w:rsid w:val="0007169C"/>
    <w:rsid w:val="00072CA4"/>
    <w:rsid w:val="00073598"/>
    <w:rsid w:val="00073CC2"/>
    <w:rsid w:val="00076DAE"/>
    <w:rsid w:val="00077216"/>
    <w:rsid w:val="0008073C"/>
    <w:rsid w:val="0008097B"/>
    <w:rsid w:val="00082315"/>
    <w:rsid w:val="00082A10"/>
    <w:rsid w:val="000843AB"/>
    <w:rsid w:val="000872C0"/>
    <w:rsid w:val="00095A6A"/>
    <w:rsid w:val="00095F0F"/>
    <w:rsid w:val="000A1014"/>
    <w:rsid w:val="000A48F6"/>
    <w:rsid w:val="000A4AE3"/>
    <w:rsid w:val="000A4E02"/>
    <w:rsid w:val="000A4E0B"/>
    <w:rsid w:val="000A795A"/>
    <w:rsid w:val="000B1239"/>
    <w:rsid w:val="000B15B6"/>
    <w:rsid w:val="000B24EB"/>
    <w:rsid w:val="000B3F64"/>
    <w:rsid w:val="000B4839"/>
    <w:rsid w:val="000B5198"/>
    <w:rsid w:val="000B6D60"/>
    <w:rsid w:val="000B75ED"/>
    <w:rsid w:val="000C0F83"/>
    <w:rsid w:val="000C18E0"/>
    <w:rsid w:val="000C2679"/>
    <w:rsid w:val="000D0030"/>
    <w:rsid w:val="000D0855"/>
    <w:rsid w:val="000D0A4B"/>
    <w:rsid w:val="000D26DE"/>
    <w:rsid w:val="000D2DE1"/>
    <w:rsid w:val="000D3ABB"/>
    <w:rsid w:val="000D6924"/>
    <w:rsid w:val="000E01D3"/>
    <w:rsid w:val="000E31EC"/>
    <w:rsid w:val="000E4025"/>
    <w:rsid w:val="000E57C7"/>
    <w:rsid w:val="000F3D19"/>
    <w:rsid w:val="000F69E3"/>
    <w:rsid w:val="001012E8"/>
    <w:rsid w:val="001042C0"/>
    <w:rsid w:val="00107183"/>
    <w:rsid w:val="001077E9"/>
    <w:rsid w:val="001106B5"/>
    <w:rsid w:val="00110D0B"/>
    <w:rsid w:val="00112123"/>
    <w:rsid w:val="00112CDF"/>
    <w:rsid w:val="00113951"/>
    <w:rsid w:val="00114A3A"/>
    <w:rsid w:val="00114A7E"/>
    <w:rsid w:val="00115AA2"/>
    <w:rsid w:val="00120E9D"/>
    <w:rsid w:val="00123751"/>
    <w:rsid w:val="001254CA"/>
    <w:rsid w:val="00125521"/>
    <w:rsid w:val="001263F7"/>
    <w:rsid w:val="001323CD"/>
    <w:rsid w:val="001346AA"/>
    <w:rsid w:val="00134FE2"/>
    <w:rsid w:val="001360E7"/>
    <w:rsid w:val="00136DD2"/>
    <w:rsid w:val="001406CF"/>
    <w:rsid w:val="001415C6"/>
    <w:rsid w:val="0014198B"/>
    <w:rsid w:val="001434A2"/>
    <w:rsid w:val="00143B85"/>
    <w:rsid w:val="001469CA"/>
    <w:rsid w:val="00146EDD"/>
    <w:rsid w:val="00153C2B"/>
    <w:rsid w:val="00153EE1"/>
    <w:rsid w:val="0015578A"/>
    <w:rsid w:val="00155DFF"/>
    <w:rsid w:val="0015778E"/>
    <w:rsid w:val="00157E98"/>
    <w:rsid w:val="00160D2F"/>
    <w:rsid w:val="001610A7"/>
    <w:rsid w:val="00161326"/>
    <w:rsid w:val="00163306"/>
    <w:rsid w:val="00163BD8"/>
    <w:rsid w:val="00164AFF"/>
    <w:rsid w:val="00164E60"/>
    <w:rsid w:val="00165AB8"/>
    <w:rsid w:val="00165AEC"/>
    <w:rsid w:val="00167547"/>
    <w:rsid w:val="00167B06"/>
    <w:rsid w:val="00172474"/>
    <w:rsid w:val="00175DE8"/>
    <w:rsid w:val="00176596"/>
    <w:rsid w:val="001776B0"/>
    <w:rsid w:val="001848FD"/>
    <w:rsid w:val="00185435"/>
    <w:rsid w:val="0018631D"/>
    <w:rsid w:val="0019660E"/>
    <w:rsid w:val="00196F1C"/>
    <w:rsid w:val="00197829"/>
    <w:rsid w:val="001A0AD3"/>
    <w:rsid w:val="001A189E"/>
    <w:rsid w:val="001A3498"/>
    <w:rsid w:val="001A37B4"/>
    <w:rsid w:val="001A44A7"/>
    <w:rsid w:val="001A6518"/>
    <w:rsid w:val="001A6BC4"/>
    <w:rsid w:val="001A70B6"/>
    <w:rsid w:val="001B100C"/>
    <w:rsid w:val="001B1654"/>
    <w:rsid w:val="001B186E"/>
    <w:rsid w:val="001B35C8"/>
    <w:rsid w:val="001B418B"/>
    <w:rsid w:val="001B457D"/>
    <w:rsid w:val="001B4ED7"/>
    <w:rsid w:val="001B706B"/>
    <w:rsid w:val="001C0765"/>
    <w:rsid w:val="001C2E52"/>
    <w:rsid w:val="001C7649"/>
    <w:rsid w:val="001D06F3"/>
    <w:rsid w:val="001D147D"/>
    <w:rsid w:val="001D1AA9"/>
    <w:rsid w:val="001D2C18"/>
    <w:rsid w:val="001D4ECC"/>
    <w:rsid w:val="001D5314"/>
    <w:rsid w:val="001E0C4D"/>
    <w:rsid w:val="001E153E"/>
    <w:rsid w:val="001E23D3"/>
    <w:rsid w:val="001E2A9C"/>
    <w:rsid w:val="001E4A9E"/>
    <w:rsid w:val="001E5A5F"/>
    <w:rsid w:val="001E6A84"/>
    <w:rsid w:val="001F3AC2"/>
    <w:rsid w:val="001F5158"/>
    <w:rsid w:val="00204F41"/>
    <w:rsid w:val="00206849"/>
    <w:rsid w:val="00206C09"/>
    <w:rsid w:val="00207009"/>
    <w:rsid w:val="0020798D"/>
    <w:rsid w:val="002141CC"/>
    <w:rsid w:val="002152EE"/>
    <w:rsid w:val="00215656"/>
    <w:rsid w:val="00215E57"/>
    <w:rsid w:val="00216DCE"/>
    <w:rsid w:val="00217844"/>
    <w:rsid w:val="00221CC5"/>
    <w:rsid w:val="00222E82"/>
    <w:rsid w:val="00224018"/>
    <w:rsid w:val="00224AB5"/>
    <w:rsid w:val="00226B81"/>
    <w:rsid w:val="00226F14"/>
    <w:rsid w:val="00230054"/>
    <w:rsid w:val="002321AA"/>
    <w:rsid w:val="00234752"/>
    <w:rsid w:val="00234838"/>
    <w:rsid w:val="0023776D"/>
    <w:rsid w:val="00237A4C"/>
    <w:rsid w:val="002402BB"/>
    <w:rsid w:val="00241CBB"/>
    <w:rsid w:val="00242309"/>
    <w:rsid w:val="0024414A"/>
    <w:rsid w:val="002472CC"/>
    <w:rsid w:val="0024733D"/>
    <w:rsid w:val="002503BA"/>
    <w:rsid w:val="00250C66"/>
    <w:rsid w:val="00250FC8"/>
    <w:rsid w:val="00251CD3"/>
    <w:rsid w:val="00251E7E"/>
    <w:rsid w:val="00254627"/>
    <w:rsid w:val="00254AD0"/>
    <w:rsid w:val="00254DFA"/>
    <w:rsid w:val="002567EA"/>
    <w:rsid w:val="002609CE"/>
    <w:rsid w:val="00260D26"/>
    <w:rsid w:val="002615CA"/>
    <w:rsid w:val="002616B7"/>
    <w:rsid w:val="0026225E"/>
    <w:rsid w:val="002645DE"/>
    <w:rsid w:val="00266DE7"/>
    <w:rsid w:val="00267740"/>
    <w:rsid w:val="0026786D"/>
    <w:rsid w:val="0027033A"/>
    <w:rsid w:val="0027219F"/>
    <w:rsid w:val="0027566B"/>
    <w:rsid w:val="00275B22"/>
    <w:rsid w:val="0027727E"/>
    <w:rsid w:val="002773A8"/>
    <w:rsid w:val="00277606"/>
    <w:rsid w:val="00281143"/>
    <w:rsid w:val="00281313"/>
    <w:rsid w:val="00281320"/>
    <w:rsid w:val="0028330C"/>
    <w:rsid w:val="0028370D"/>
    <w:rsid w:val="00283C3A"/>
    <w:rsid w:val="00285143"/>
    <w:rsid w:val="00285E2F"/>
    <w:rsid w:val="0028653C"/>
    <w:rsid w:val="00290B21"/>
    <w:rsid w:val="002929C2"/>
    <w:rsid w:val="00295E43"/>
    <w:rsid w:val="00296011"/>
    <w:rsid w:val="0029736C"/>
    <w:rsid w:val="002A134C"/>
    <w:rsid w:val="002A3B40"/>
    <w:rsid w:val="002A4736"/>
    <w:rsid w:val="002A5A45"/>
    <w:rsid w:val="002A623D"/>
    <w:rsid w:val="002A6310"/>
    <w:rsid w:val="002A638C"/>
    <w:rsid w:val="002A67B6"/>
    <w:rsid w:val="002A6910"/>
    <w:rsid w:val="002A7AAC"/>
    <w:rsid w:val="002B0CFF"/>
    <w:rsid w:val="002B11F6"/>
    <w:rsid w:val="002B1419"/>
    <w:rsid w:val="002B18F1"/>
    <w:rsid w:val="002B46DD"/>
    <w:rsid w:val="002B4870"/>
    <w:rsid w:val="002B6474"/>
    <w:rsid w:val="002C12B7"/>
    <w:rsid w:val="002C13B4"/>
    <w:rsid w:val="002C1A7C"/>
    <w:rsid w:val="002C1DE6"/>
    <w:rsid w:val="002C4C2E"/>
    <w:rsid w:val="002C5CF0"/>
    <w:rsid w:val="002C74F2"/>
    <w:rsid w:val="002C7897"/>
    <w:rsid w:val="002D05C2"/>
    <w:rsid w:val="002D4A82"/>
    <w:rsid w:val="002D4B36"/>
    <w:rsid w:val="002D5306"/>
    <w:rsid w:val="002D68CA"/>
    <w:rsid w:val="002D7C62"/>
    <w:rsid w:val="002E0243"/>
    <w:rsid w:val="002E0A1B"/>
    <w:rsid w:val="002E2745"/>
    <w:rsid w:val="002E3344"/>
    <w:rsid w:val="002E37B1"/>
    <w:rsid w:val="002E776E"/>
    <w:rsid w:val="002E7799"/>
    <w:rsid w:val="002F0465"/>
    <w:rsid w:val="002F1130"/>
    <w:rsid w:val="002F19F4"/>
    <w:rsid w:val="002F3351"/>
    <w:rsid w:val="002F440A"/>
    <w:rsid w:val="002F4D16"/>
    <w:rsid w:val="002F5E1C"/>
    <w:rsid w:val="002F6ADC"/>
    <w:rsid w:val="002F6F20"/>
    <w:rsid w:val="003006C0"/>
    <w:rsid w:val="0030522A"/>
    <w:rsid w:val="00307C0A"/>
    <w:rsid w:val="003100CD"/>
    <w:rsid w:val="0031601B"/>
    <w:rsid w:val="003162D8"/>
    <w:rsid w:val="00316BD2"/>
    <w:rsid w:val="00317633"/>
    <w:rsid w:val="003204EC"/>
    <w:rsid w:val="003213EB"/>
    <w:rsid w:val="0032160F"/>
    <w:rsid w:val="00323643"/>
    <w:rsid w:val="00324262"/>
    <w:rsid w:val="00326311"/>
    <w:rsid w:val="003277D0"/>
    <w:rsid w:val="00330E50"/>
    <w:rsid w:val="0033204A"/>
    <w:rsid w:val="00332724"/>
    <w:rsid w:val="00332753"/>
    <w:rsid w:val="003347DD"/>
    <w:rsid w:val="0033547C"/>
    <w:rsid w:val="00335A4F"/>
    <w:rsid w:val="003367E9"/>
    <w:rsid w:val="00340572"/>
    <w:rsid w:val="00340B1F"/>
    <w:rsid w:val="00343652"/>
    <w:rsid w:val="00344982"/>
    <w:rsid w:val="00344AD0"/>
    <w:rsid w:val="00345A6F"/>
    <w:rsid w:val="0034668D"/>
    <w:rsid w:val="00346826"/>
    <w:rsid w:val="00346D6C"/>
    <w:rsid w:val="00350074"/>
    <w:rsid w:val="0035246E"/>
    <w:rsid w:val="00353C71"/>
    <w:rsid w:val="003557D8"/>
    <w:rsid w:val="00355887"/>
    <w:rsid w:val="003616D4"/>
    <w:rsid w:val="00364248"/>
    <w:rsid w:val="00364E07"/>
    <w:rsid w:val="0036586C"/>
    <w:rsid w:val="00365ADC"/>
    <w:rsid w:val="00366E0A"/>
    <w:rsid w:val="00367924"/>
    <w:rsid w:val="00367E19"/>
    <w:rsid w:val="003712CB"/>
    <w:rsid w:val="003718F8"/>
    <w:rsid w:val="003737F1"/>
    <w:rsid w:val="003741EA"/>
    <w:rsid w:val="00374DBE"/>
    <w:rsid w:val="003761DF"/>
    <w:rsid w:val="00376F35"/>
    <w:rsid w:val="00377800"/>
    <w:rsid w:val="00377A8B"/>
    <w:rsid w:val="00380D91"/>
    <w:rsid w:val="00383C2C"/>
    <w:rsid w:val="00383D5C"/>
    <w:rsid w:val="00385F50"/>
    <w:rsid w:val="00392AE3"/>
    <w:rsid w:val="00394F3C"/>
    <w:rsid w:val="00397477"/>
    <w:rsid w:val="003979AE"/>
    <w:rsid w:val="00397A52"/>
    <w:rsid w:val="003A0015"/>
    <w:rsid w:val="003A7E81"/>
    <w:rsid w:val="003B1DA6"/>
    <w:rsid w:val="003B3ED5"/>
    <w:rsid w:val="003B5864"/>
    <w:rsid w:val="003C0553"/>
    <w:rsid w:val="003C1B86"/>
    <w:rsid w:val="003C1D2F"/>
    <w:rsid w:val="003D1C62"/>
    <w:rsid w:val="003D1D78"/>
    <w:rsid w:val="003D208A"/>
    <w:rsid w:val="003D39DE"/>
    <w:rsid w:val="003D5E2C"/>
    <w:rsid w:val="003D6E2F"/>
    <w:rsid w:val="003D6EF7"/>
    <w:rsid w:val="003E0AA6"/>
    <w:rsid w:val="003E0E8D"/>
    <w:rsid w:val="003E1F3A"/>
    <w:rsid w:val="003E4FE4"/>
    <w:rsid w:val="003E5B48"/>
    <w:rsid w:val="003E751D"/>
    <w:rsid w:val="003F19CC"/>
    <w:rsid w:val="003F246C"/>
    <w:rsid w:val="003F503A"/>
    <w:rsid w:val="003F55AE"/>
    <w:rsid w:val="003F5BF1"/>
    <w:rsid w:val="00400AAC"/>
    <w:rsid w:val="00404392"/>
    <w:rsid w:val="004049E1"/>
    <w:rsid w:val="004111E6"/>
    <w:rsid w:val="00412527"/>
    <w:rsid w:val="00414211"/>
    <w:rsid w:val="00417191"/>
    <w:rsid w:val="0042009C"/>
    <w:rsid w:val="004203A3"/>
    <w:rsid w:val="004230E3"/>
    <w:rsid w:val="00425237"/>
    <w:rsid w:val="004255F6"/>
    <w:rsid w:val="004301D3"/>
    <w:rsid w:val="00431212"/>
    <w:rsid w:val="004321C0"/>
    <w:rsid w:val="00434C70"/>
    <w:rsid w:val="004359FA"/>
    <w:rsid w:val="0043705A"/>
    <w:rsid w:val="00441AF3"/>
    <w:rsid w:val="00441E1F"/>
    <w:rsid w:val="0044232D"/>
    <w:rsid w:val="00443F0A"/>
    <w:rsid w:val="00444DD2"/>
    <w:rsid w:val="0044508D"/>
    <w:rsid w:val="00445AF9"/>
    <w:rsid w:val="0044697B"/>
    <w:rsid w:val="00450D37"/>
    <w:rsid w:val="004511EE"/>
    <w:rsid w:val="0045191B"/>
    <w:rsid w:val="004527C1"/>
    <w:rsid w:val="00452FB7"/>
    <w:rsid w:val="00455D43"/>
    <w:rsid w:val="00456F74"/>
    <w:rsid w:val="00461855"/>
    <w:rsid w:val="00463B0D"/>
    <w:rsid w:val="00465EB6"/>
    <w:rsid w:val="00465EC3"/>
    <w:rsid w:val="00466F4E"/>
    <w:rsid w:val="00471DEC"/>
    <w:rsid w:val="00472394"/>
    <w:rsid w:val="00473889"/>
    <w:rsid w:val="00473B60"/>
    <w:rsid w:val="00474953"/>
    <w:rsid w:val="00475C46"/>
    <w:rsid w:val="00475F3C"/>
    <w:rsid w:val="00477808"/>
    <w:rsid w:val="00480C35"/>
    <w:rsid w:val="00485262"/>
    <w:rsid w:val="00486519"/>
    <w:rsid w:val="00486C10"/>
    <w:rsid w:val="00490631"/>
    <w:rsid w:val="00492513"/>
    <w:rsid w:val="00494434"/>
    <w:rsid w:val="00494871"/>
    <w:rsid w:val="004963E6"/>
    <w:rsid w:val="00497B99"/>
    <w:rsid w:val="004A143A"/>
    <w:rsid w:val="004A1C1B"/>
    <w:rsid w:val="004A243D"/>
    <w:rsid w:val="004A398A"/>
    <w:rsid w:val="004A4491"/>
    <w:rsid w:val="004A72D7"/>
    <w:rsid w:val="004B18F1"/>
    <w:rsid w:val="004B1F3E"/>
    <w:rsid w:val="004B2CCB"/>
    <w:rsid w:val="004B34FF"/>
    <w:rsid w:val="004B558A"/>
    <w:rsid w:val="004B59ED"/>
    <w:rsid w:val="004B6259"/>
    <w:rsid w:val="004C0262"/>
    <w:rsid w:val="004C0926"/>
    <w:rsid w:val="004C0EC4"/>
    <w:rsid w:val="004C1C74"/>
    <w:rsid w:val="004C1D45"/>
    <w:rsid w:val="004C2F43"/>
    <w:rsid w:val="004C363E"/>
    <w:rsid w:val="004C60B9"/>
    <w:rsid w:val="004C7A76"/>
    <w:rsid w:val="004D134E"/>
    <w:rsid w:val="004D240B"/>
    <w:rsid w:val="004D2726"/>
    <w:rsid w:val="004D2DC7"/>
    <w:rsid w:val="004D323B"/>
    <w:rsid w:val="004D387B"/>
    <w:rsid w:val="004D5AAB"/>
    <w:rsid w:val="004D7519"/>
    <w:rsid w:val="004E3D42"/>
    <w:rsid w:val="004E46BD"/>
    <w:rsid w:val="004E472A"/>
    <w:rsid w:val="004E4897"/>
    <w:rsid w:val="004E51AA"/>
    <w:rsid w:val="004F052B"/>
    <w:rsid w:val="004F0FE5"/>
    <w:rsid w:val="004F1A97"/>
    <w:rsid w:val="004F1DC2"/>
    <w:rsid w:val="004F2346"/>
    <w:rsid w:val="004F4609"/>
    <w:rsid w:val="00501B62"/>
    <w:rsid w:val="0050267B"/>
    <w:rsid w:val="0050629F"/>
    <w:rsid w:val="00507524"/>
    <w:rsid w:val="00514010"/>
    <w:rsid w:val="00517901"/>
    <w:rsid w:val="00517A9E"/>
    <w:rsid w:val="00517C17"/>
    <w:rsid w:val="00521FE2"/>
    <w:rsid w:val="0052351A"/>
    <w:rsid w:val="0052489C"/>
    <w:rsid w:val="005275E8"/>
    <w:rsid w:val="00527B56"/>
    <w:rsid w:val="00530034"/>
    <w:rsid w:val="00530A8B"/>
    <w:rsid w:val="00530C67"/>
    <w:rsid w:val="00531D5E"/>
    <w:rsid w:val="005331CC"/>
    <w:rsid w:val="005337AF"/>
    <w:rsid w:val="005341D4"/>
    <w:rsid w:val="005360C7"/>
    <w:rsid w:val="005366FB"/>
    <w:rsid w:val="005376D6"/>
    <w:rsid w:val="00542179"/>
    <w:rsid w:val="005428D0"/>
    <w:rsid w:val="00542C9B"/>
    <w:rsid w:val="00546BCD"/>
    <w:rsid w:val="0054707A"/>
    <w:rsid w:val="005471F3"/>
    <w:rsid w:val="00547AF2"/>
    <w:rsid w:val="00547C05"/>
    <w:rsid w:val="005502CC"/>
    <w:rsid w:val="00555279"/>
    <w:rsid w:val="005560C1"/>
    <w:rsid w:val="0055612B"/>
    <w:rsid w:val="0055744B"/>
    <w:rsid w:val="00560197"/>
    <w:rsid w:val="00560BA4"/>
    <w:rsid w:val="005612E0"/>
    <w:rsid w:val="0056159A"/>
    <w:rsid w:val="00561A2D"/>
    <w:rsid w:val="00563727"/>
    <w:rsid w:val="0056417C"/>
    <w:rsid w:val="00564639"/>
    <w:rsid w:val="005670C7"/>
    <w:rsid w:val="0057015B"/>
    <w:rsid w:val="00570563"/>
    <w:rsid w:val="00570F30"/>
    <w:rsid w:val="005712BF"/>
    <w:rsid w:val="005723EA"/>
    <w:rsid w:val="00573DAD"/>
    <w:rsid w:val="00574088"/>
    <w:rsid w:val="00576796"/>
    <w:rsid w:val="00582716"/>
    <w:rsid w:val="00582E48"/>
    <w:rsid w:val="00583123"/>
    <w:rsid w:val="00583523"/>
    <w:rsid w:val="0059088F"/>
    <w:rsid w:val="00591B34"/>
    <w:rsid w:val="00591E72"/>
    <w:rsid w:val="00595017"/>
    <w:rsid w:val="00595223"/>
    <w:rsid w:val="0059690A"/>
    <w:rsid w:val="00596F22"/>
    <w:rsid w:val="00597437"/>
    <w:rsid w:val="005977B7"/>
    <w:rsid w:val="005A026F"/>
    <w:rsid w:val="005A0713"/>
    <w:rsid w:val="005A38FA"/>
    <w:rsid w:val="005A56F5"/>
    <w:rsid w:val="005A5819"/>
    <w:rsid w:val="005A67C1"/>
    <w:rsid w:val="005A7940"/>
    <w:rsid w:val="005B020D"/>
    <w:rsid w:val="005B1D13"/>
    <w:rsid w:val="005B2A89"/>
    <w:rsid w:val="005B4AE5"/>
    <w:rsid w:val="005B7E2A"/>
    <w:rsid w:val="005C0444"/>
    <w:rsid w:val="005C0B30"/>
    <w:rsid w:val="005C27F1"/>
    <w:rsid w:val="005C50AA"/>
    <w:rsid w:val="005C5555"/>
    <w:rsid w:val="005C7950"/>
    <w:rsid w:val="005C7F02"/>
    <w:rsid w:val="005D04AC"/>
    <w:rsid w:val="005D0611"/>
    <w:rsid w:val="005D4A3C"/>
    <w:rsid w:val="005D582A"/>
    <w:rsid w:val="005D5A92"/>
    <w:rsid w:val="005D7E90"/>
    <w:rsid w:val="005E3814"/>
    <w:rsid w:val="005E4C47"/>
    <w:rsid w:val="005E6037"/>
    <w:rsid w:val="005E7C74"/>
    <w:rsid w:val="005F0BD6"/>
    <w:rsid w:val="005F0D7F"/>
    <w:rsid w:val="005F2994"/>
    <w:rsid w:val="005F303F"/>
    <w:rsid w:val="005F3C41"/>
    <w:rsid w:val="005F58AE"/>
    <w:rsid w:val="005F59CA"/>
    <w:rsid w:val="006013F5"/>
    <w:rsid w:val="00601703"/>
    <w:rsid w:val="00603995"/>
    <w:rsid w:val="0060453D"/>
    <w:rsid w:val="00610B5F"/>
    <w:rsid w:val="006118F1"/>
    <w:rsid w:val="006153C6"/>
    <w:rsid w:val="00615492"/>
    <w:rsid w:val="00616037"/>
    <w:rsid w:val="006165E0"/>
    <w:rsid w:val="00616E0D"/>
    <w:rsid w:val="006229D8"/>
    <w:rsid w:val="00625158"/>
    <w:rsid w:val="00625BF8"/>
    <w:rsid w:val="00627DD7"/>
    <w:rsid w:val="006302DE"/>
    <w:rsid w:val="006314EE"/>
    <w:rsid w:val="00633E57"/>
    <w:rsid w:val="00634FA3"/>
    <w:rsid w:val="006404FE"/>
    <w:rsid w:val="00640B1B"/>
    <w:rsid w:val="00641072"/>
    <w:rsid w:val="00642478"/>
    <w:rsid w:val="006447BA"/>
    <w:rsid w:val="006468A1"/>
    <w:rsid w:val="00646F71"/>
    <w:rsid w:val="00647446"/>
    <w:rsid w:val="00651A3D"/>
    <w:rsid w:val="0065332D"/>
    <w:rsid w:val="006539F7"/>
    <w:rsid w:val="00654161"/>
    <w:rsid w:val="00656A16"/>
    <w:rsid w:val="00657144"/>
    <w:rsid w:val="00657A2A"/>
    <w:rsid w:val="00657E5C"/>
    <w:rsid w:val="006608C4"/>
    <w:rsid w:val="00663224"/>
    <w:rsid w:val="00663C93"/>
    <w:rsid w:val="00667368"/>
    <w:rsid w:val="00671217"/>
    <w:rsid w:val="00672551"/>
    <w:rsid w:val="006743ED"/>
    <w:rsid w:val="006759A8"/>
    <w:rsid w:val="006766D2"/>
    <w:rsid w:val="00676C7B"/>
    <w:rsid w:val="006775DA"/>
    <w:rsid w:val="00677F4E"/>
    <w:rsid w:val="006810FC"/>
    <w:rsid w:val="00682E77"/>
    <w:rsid w:val="00684AF6"/>
    <w:rsid w:val="00686AF5"/>
    <w:rsid w:val="00691868"/>
    <w:rsid w:val="00693886"/>
    <w:rsid w:val="00694682"/>
    <w:rsid w:val="006979A8"/>
    <w:rsid w:val="006A27F4"/>
    <w:rsid w:val="006A2C42"/>
    <w:rsid w:val="006A46B9"/>
    <w:rsid w:val="006A4BA3"/>
    <w:rsid w:val="006A5121"/>
    <w:rsid w:val="006A75E9"/>
    <w:rsid w:val="006B2521"/>
    <w:rsid w:val="006B406D"/>
    <w:rsid w:val="006B493A"/>
    <w:rsid w:val="006B59E4"/>
    <w:rsid w:val="006B5EFF"/>
    <w:rsid w:val="006B6898"/>
    <w:rsid w:val="006C4C90"/>
    <w:rsid w:val="006C62A4"/>
    <w:rsid w:val="006C71BA"/>
    <w:rsid w:val="006D3079"/>
    <w:rsid w:val="006D3D79"/>
    <w:rsid w:val="006D4228"/>
    <w:rsid w:val="006D5641"/>
    <w:rsid w:val="006D694E"/>
    <w:rsid w:val="006E0312"/>
    <w:rsid w:val="006E05F1"/>
    <w:rsid w:val="006E0958"/>
    <w:rsid w:val="006E0BA4"/>
    <w:rsid w:val="006E1BDD"/>
    <w:rsid w:val="006E253D"/>
    <w:rsid w:val="006E5471"/>
    <w:rsid w:val="006E54B9"/>
    <w:rsid w:val="006E7B26"/>
    <w:rsid w:val="006F38A4"/>
    <w:rsid w:val="006F50ED"/>
    <w:rsid w:val="006F5AE5"/>
    <w:rsid w:val="006F5DE3"/>
    <w:rsid w:val="006F6369"/>
    <w:rsid w:val="006F7F6B"/>
    <w:rsid w:val="00700D15"/>
    <w:rsid w:val="00701D1E"/>
    <w:rsid w:val="00702B9D"/>
    <w:rsid w:val="007032D5"/>
    <w:rsid w:val="007040A6"/>
    <w:rsid w:val="00704194"/>
    <w:rsid w:val="0070484D"/>
    <w:rsid w:val="00705F73"/>
    <w:rsid w:val="007076F9"/>
    <w:rsid w:val="007116D1"/>
    <w:rsid w:val="0071290C"/>
    <w:rsid w:val="00714AD0"/>
    <w:rsid w:val="0071711E"/>
    <w:rsid w:val="00717AF5"/>
    <w:rsid w:val="00720EA3"/>
    <w:rsid w:val="007215AA"/>
    <w:rsid w:val="007216FC"/>
    <w:rsid w:val="007223ED"/>
    <w:rsid w:val="007227EB"/>
    <w:rsid w:val="00723645"/>
    <w:rsid w:val="00725EF4"/>
    <w:rsid w:val="00727828"/>
    <w:rsid w:val="00734468"/>
    <w:rsid w:val="00735879"/>
    <w:rsid w:val="007362B6"/>
    <w:rsid w:val="00737279"/>
    <w:rsid w:val="00737D6A"/>
    <w:rsid w:val="00740440"/>
    <w:rsid w:val="00741EA2"/>
    <w:rsid w:val="00745AD8"/>
    <w:rsid w:val="00745FB0"/>
    <w:rsid w:val="007466CC"/>
    <w:rsid w:val="00746702"/>
    <w:rsid w:val="00746AC6"/>
    <w:rsid w:val="00747C7D"/>
    <w:rsid w:val="007575E0"/>
    <w:rsid w:val="0075773A"/>
    <w:rsid w:val="00763EC0"/>
    <w:rsid w:val="007701B8"/>
    <w:rsid w:val="007702B3"/>
    <w:rsid w:val="007706F4"/>
    <w:rsid w:val="00771272"/>
    <w:rsid w:val="00771AB6"/>
    <w:rsid w:val="00772665"/>
    <w:rsid w:val="00772872"/>
    <w:rsid w:val="00772D81"/>
    <w:rsid w:val="007731E1"/>
    <w:rsid w:val="0077383D"/>
    <w:rsid w:val="00774432"/>
    <w:rsid w:val="0077515E"/>
    <w:rsid w:val="00775C3C"/>
    <w:rsid w:val="00775F47"/>
    <w:rsid w:val="00776F9A"/>
    <w:rsid w:val="007777D7"/>
    <w:rsid w:val="00780888"/>
    <w:rsid w:val="00783995"/>
    <w:rsid w:val="00784198"/>
    <w:rsid w:val="00784A89"/>
    <w:rsid w:val="00784AFC"/>
    <w:rsid w:val="00786B4A"/>
    <w:rsid w:val="00791D68"/>
    <w:rsid w:val="0079646E"/>
    <w:rsid w:val="00797E03"/>
    <w:rsid w:val="007A4D80"/>
    <w:rsid w:val="007A5B80"/>
    <w:rsid w:val="007A5BED"/>
    <w:rsid w:val="007A773A"/>
    <w:rsid w:val="007A77A8"/>
    <w:rsid w:val="007B1FA3"/>
    <w:rsid w:val="007B2DFB"/>
    <w:rsid w:val="007B3650"/>
    <w:rsid w:val="007B458B"/>
    <w:rsid w:val="007B4CC4"/>
    <w:rsid w:val="007C0E60"/>
    <w:rsid w:val="007C10D8"/>
    <w:rsid w:val="007C1C0A"/>
    <w:rsid w:val="007C3EC0"/>
    <w:rsid w:val="007C44C7"/>
    <w:rsid w:val="007C4FB3"/>
    <w:rsid w:val="007C6558"/>
    <w:rsid w:val="007C6D58"/>
    <w:rsid w:val="007C7E76"/>
    <w:rsid w:val="007D0143"/>
    <w:rsid w:val="007D1032"/>
    <w:rsid w:val="007D26BC"/>
    <w:rsid w:val="007D37E3"/>
    <w:rsid w:val="007D43CB"/>
    <w:rsid w:val="007D59AC"/>
    <w:rsid w:val="007D5D4D"/>
    <w:rsid w:val="007D6033"/>
    <w:rsid w:val="007D7C5C"/>
    <w:rsid w:val="007E253F"/>
    <w:rsid w:val="007E49C3"/>
    <w:rsid w:val="007E6C2C"/>
    <w:rsid w:val="007F03D9"/>
    <w:rsid w:val="007F1C3A"/>
    <w:rsid w:val="007F24A3"/>
    <w:rsid w:val="007F27D6"/>
    <w:rsid w:val="007F5354"/>
    <w:rsid w:val="007F5825"/>
    <w:rsid w:val="007F768A"/>
    <w:rsid w:val="00800DF3"/>
    <w:rsid w:val="00802ACF"/>
    <w:rsid w:val="008030FD"/>
    <w:rsid w:val="008039E6"/>
    <w:rsid w:val="008044B0"/>
    <w:rsid w:val="00804CE3"/>
    <w:rsid w:val="00805842"/>
    <w:rsid w:val="008127AF"/>
    <w:rsid w:val="0081330B"/>
    <w:rsid w:val="00813359"/>
    <w:rsid w:val="00813B27"/>
    <w:rsid w:val="00814409"/>
    <w:rsid w:val="008151A3"/>
    <w:rsid w:val="00815FEE"/>
    <w:rsid w:val="008168B8"/>
    <w:rsid w:val="00817BD4"/>
    <w:rsid w:val="00817FB5"/>
    <w:rsid w:val="0082093E"/>
    <w:rsid w:val="00822131"/>
    <w:rsid w:val="00822DE3"/>
    <w:rsid w:val="00823438"/>
    <w:rsid w:val="008249E7"/>
    <w:rsid w:val="00826A6F"/>
    <w:rsid w:val="008272BA"/>
    <w:rsid w:val="0082730F"/>
    <w:rsid w:val="00827814"/>
    <w:rsid w:val="0083323A"/>
    <w:rsid w:val="008332BB"/>
    <w:rsid w:val="0083490D"/>
    <w:rsid w:val="008357CB"/>
    <w:rsid w:val="008377F5"/>
    <w:rsid w:val="00840DD2"/>
    <w:rsid w:val="00841549"/>
    <w:rsid w:val="0084185D"/>
    <w:rsid w:val="00841B96"/>
    <w:rsid w:val="008420F3"/>
    <w:rsid w:val="00843212"/>
    <w:rsid w:val="00843699"/>
    <w:rsid w:val="008437B8"/>
    <w:rsid w:val="00843803"/>
    <w:rsid w:val="00843B18"/>
    <w:rsid w:val="00844AE5"/>
    <w:rsid w:val="008457F6"/>
    <w:rsid w:val="008469AF"/>
    <w:rsid w:val="00851545"/>
    <w:rsid w:val="00852767"/>
    <w:rsid w:val="0085316A"/>
    <w:rsid w:val="00853BD5"/>
    <w:rsid w:val="00853E58"/>
    <w:rsid w:val="00856646"/>
    <w:rsid w:val="00856C1D"/>
    <w:rsid w:val="00860619"/>
    <w:rsid w:val="00861B89"/>
    <w:rsid w:val="008631D1"/>
    <w:rsid w:val="00863CE3"/>
    <w:rsid w:val="008654A5"/>
    <w:rsid w:val="00866283"/>
    <w:rsid w:val="00866701"/>
    <w:rsid w:val="008667A0"/>
    <w:rsid w:val="00867CB1"/>
    <w:rsid w:val="00870F63"/>
    <w:rsid w:val="0087148E"/>
    <w:rsid w:val="00874A54"/>
    <w:rsid w:val="00874DDC"/>
    <w:rsid w:val="00874E2A"/>
    <w:rsid w:val="008753AB"/>
    <w:rsid w:val="008803A1"/>
    <w:rsid w:val="00880952"/>
    <w:rsid w:val="00880F66"/>
    <w:rsid w:val="00883097"/>
    <w:rsid w:val="008842D1"/>
    <w:rsid w:val="0088472D"/>
    <w:rsid w:val="008866F7"/>
    <w:rsid w:val="008872CC"/>
    <w:rsid w:val="00887D9C"/>
    <w:rsid w:val="00891523"/>
    <w:rsid w:val="00894E21"/>
    <w:rsid w:val="008952E5"/>
    <w:rsid w:val="00896DF3"/>
    <w:rsid w:val="008A519F"/>
    <w:rsid w:val="008A5EFE"/>
    <w:rsid w:val="008A6DFD"/>
    <w:rsid w:val="008A7F96"/>
    <w:rsid w:val="008B1E16"/>
    <w:rsid w:val="008B31C7"/>
    <w:rsid w:val="008B3705"/>
    <w:rsid w:val="008B461E"/>
    <w:rsid w:val="008B6838"/>
    <w:rsid w:val="008B7B76"/>
    <w:rsid w:val="008B7F00"/>
    <w:rsid w:val="008C2337"/>
    <w:rsid w:val="008C3659"/>
    <w:rsid w:val="008C3A54"/>
    <w:rsid w:val="008C3C2B"/>
    <w:rsid w:val="008C5407"/>
    <w:rsid w:val="008D09DB"/>
    <w:rsid w:val="008D11A2"/>
    <w:rsid w:val="008D3F37"/>
    <w:rsid w:val="008D3F60"/>
    <w:rsid w:val="008D4142"/>
    <w:rsid w:val="008D4186"/>
    <w:rsid w:val="008D43CE"/>
    <w:rsid w:val="008D4C39"/>
    <w:rsid w:val="008D6241"/>
    <w:rsid w:val="008D6882"/>
    <w:rsid w:val="008D75F6"/>
    <w:rsid w:val="008E0786"/>
    <w:rsid w:val="008E086E"/>
    <w:rsid w:val="008E117D"/>
    <w:rsid w:val="008E44AB"/>
    <w:rsid w:val="008E4D1B"/>
    <w:rsid w:val="008E5479"/>
    <w:rsid w:val="008E573C"/>
    <w:rsid w:val="008E644E"/>
    <w:rsid w:val="008E7236"/>
    <w:rsid w:val="008F1A70"/>
    <w:rsid w:val="008F23A6"/>
    <w:rsid w:val="008F512A"/>
    <w:rsid w:val="00901967"/>
    <w:rsid w:val="00902205"/>
    <w:rsid w:val="00902295"/>
    <w:rsid w:val="00903640"/>
    <w:rsid w:val="0090381D"/>
    <w:rsid w:val="00903AEF"/>
    <w:rsid w:val="009052E4"/>
    <w:rsid w:val="00905BBC"/>
    <w:rsid w:val="00907A60"/>
    <w:rsid w:val="00917E06"/>
    <w:rsid w:val="00920BED"/>
    <w:rsid w:val="00921B0C"/>
    <w:rsid w:val="00924A87"/>
    <w:rsid w:val="00926CC2"/>
    <w:rsid w:val="009313FC"/>
    <w:rsid w:val="009362BA"/>
    <w:rsid w:val="00937F1D"/>
    <w:rsid w:val="009415CF"/>
    <w:rsid w:val="0094185D"/>
    <w:rsid w:val="00942CD7"/>
    <w:rsid w:val="00943078"/>
    <w:rsid w:val="009431DA"/>
    <w:rsid w:val="00944D17"/>
    <w:rsid w:val="00950927"/>
    <w:rsid w:val="009509B6"/>
    <w:rsid w:val="00951DF8"/>
    <w:rsid w:val="00952F7E"/>
    <w:rsid w:val="009532EF"/>
    <w:rsid w:val="00954836"/>
    <w:rsid w:val="00957FAB"/>
    <w:rsid w:val="009619BB"/>
    <w:rsid w:val="00963B7F"/>
    <w:rsid w:val="00964085"/>
    <w:rsid w:val="00965719"/>
    <w:rsid w:val="00970C00"/>
    <w:rsid w:val="00972AB0"/>
    <w:rsid w:val="00974DC4"/>
    <w:rsid w:val="00975965"/>
    <w:rsid w:val="00975CE9"/>
    <w:rsid w:val="00975DF5"/>
    <w:rsid w:val="0097737F"/>
    <w:rsid w:val="00981CB8"/>
    <w:rsid w:val="00982F71"/>
    <w:rsid w:val="009851FE"/>
    <w:rsid w:val="009868B2"/>
    <w:rsid w:val="009945FB"/>
    <w:rsid w:val="00994A36"/>
    <w:rsid w:val="0099610D"/>
    <w:rsid w:val="00996532"/>
    <w:rsid w:val="009A1497"/>
    <w:rsid w:val="009A1B30"/>
    <w:rsid w:val="009A3CF3"/>
    <w:rsid w:val="009A3D25"/>
    <w:rsid w:val="009A465E"/>
    <w:rsid w:val="009A6A80"/>
    <w:rsid w:val="009A712D"/>
    <w:rsid w:val="009B112C"/>
    <w:rsid w:val="009B164D"/>
    <w:rsid w:val="009B5F54"/>
    <w:rsid w:val="009C0DF6"/>
    <w:rsid w:val="009C3D81"/>
    <w:rsid w:val="009C6412"/>
    <w:rsid w:val="009C66D1"/>
    <w:rsid w:val="009C7150"/>
    <w:rsid w:val="009D0B6C"/>
    <w:rsid w:val="009D1722"/>
    <w:rsid w:val="009D2A7D"/>
    <w:rsid w:val="009D2AE3"/>
    <w:rsid w:val="009D4391"/>
    <w:rsid w:val="009D4E3D"/>
    <w:rsid w:val="009D5584"/>
    <w:rsid w:val="009E0542"/>
    <w:rsid w:val="009E1FAF"/>
    <w:rsid w:val="009E2F7A"/>
    <w:rsid w:val="009E3B5F"/>
    <w:rsid w:val="009E46A7"/>
    <w:rsid w:val="009E553F"/>
    <w:rsid w:val="009E70FF"/>
    <w:rsid w:val="009E7BEA"/>
    <w:rsid w:val="009E7CED"/>
    <w:rsid w:val="009F180D"/>
    <w:rsid w:val="009F364F"/>
    <w:rsid w:val="009F62F6"/>
    <w:rsid w:val="009F7F71"/>
    <w:rsid w:val="00A0088B"/>
    <w:rsid w:val="00A011FF"/>
    <w:rsid w:val="00A013A9"/>
    <w:rsid w:val="00A019E8"/>
    <w:rsid w:val="00A01AA5"/>
    <w:rsid w:val="00A02CBC"/>
    <w:rsid w:val="00A0520D"/>
    <w:rsid w:val="00A05306"/>
    <w:rsid w:val="00A0743D"/>
    <w:rsid w:val="00A12171"/>
    <w:rsid w:val="00A125EC"/>
    <w:rsid w:val="00A14205"/>
    <w:rsid w:val="00A14BE8"/>
    <w:rsid w:val="00A1511D"/>
    <w:rsid w:val="00A154BD"/>
    <w:rsid w:val="00A2022C"/>
    <w:rsid w:val="00A20B7C"/>
    <w:rsid w:val="00A232FC"/>
    <w:rsid w:val="00A25E39"/>
    <w:rsid w:val="00A26368"/>
    <w:rsid w:val="00A2694A"/>
    <w:rsid w:val="00A27D19"/>
    <w:rsid w:val="00A30036"/>
    <w:rsid w:val="00A32572"/>
    <w:rsid w:val="00A32CE0"/>
    <w:rsid w:val="00A32E7B"/>
    <w:rsid w:val="00A33079"/>
    <w:rsid w:val="00A33845"/>
    <w:rsid w:val="00A33967"/>
    <w:rsid w:val="00A35326"/>
    <w:rsid w:val="00A35D08"/>
    <w:rsid w:val="00A409B2"/>
    <w:rsid w:val="00A41E3E"/>
    <w:rsid w:val="00A42F77"/>
    <w:rsid w:val="00A44D15"/>
    <w:rsid w:val="00A529E1"/>
    <w:rsid w:val="00A55857"/>
    <w:rsid w:val="00A566D6"/>
    <w:rsid w:val="00A569BA"/>
    <w:rsid w:val="00A570EE"/>
    <w:rsid w:val="00A61A28"/>
    <w:rsid w:val="00A629C3"/>
    <w:rsid w:val="00A63806"/>
    <w:rsid w:val="00A64823"/>
    <w:rsid w:val="00A651B2"/>
    <w:rsid w:val="00A657B2"/>
    <w:rsid w:val="00A66C50"/>
    <w:rsid w:val="00A70D77"/>
    <w:rsid w:val="00A71E4A"/>
    <w:rsid w:val="00A739E2"/>
    <w:rsid w:val="00A76684"/>
    <w:rsid w:val="00A8092D"/>
    <w:rsid w:val="00A80A28"/>
    <w:rsid w:val="00A80CAE"/>
    <w:rsid w:val="00A81124"/>
    <w:rsid w:val="00A81D73"/>
    <w:rsid w:val="00A8456B"/>
    <w:rsid w:val="00A84A25"/>
    <w:rsid w:val="00A86865"/>
    <w:rsid w:val="00A90D25"/>
    <w:rsid w:val="00A90EAB"/>
    <w:rsid w:val="00A910CB"/>
    <w:rsid w:val="00A93E75"/>
    <w:rsid w:val="00A957BF"/>
    <w:rsid w:val="00A960CB"/>
    <w:rsid w:val="00AA3BB7"/>
    <w:rsid w:val="00AA5259"/>
    <w:rsid w:val="00AA6230"/>
    <w:rsid w:val="00AA76F9"/>
    <w:rsid w:val="00AB1D41"/>
    <w:rsid w:val="00AB206A"/>
    <w:rsid w:val="00AB2A27"/>
    <w:rsid w:val="00AB35BF"/>
    <w:rsid w:val="00AB3944"/>
    <w:rsid w:val="00AB5336"/>
    <w:rsid w:val="00AB59B4"/>
    <w:rsid w:val="00AB7459"/>
    <w:rsid w:val="00AB77ED"/>
    <w:rsid w:val="00AB79E5"/>
    <w:rsid w:val="00AC0C3E"/>
    <w:rsid w:val="00AC5220"/>
    <w:rsid w:val="00AC5E14"/>
    <w:rsid w:val="00AC7919"/>
    <w:rsid w:val="00AD0627"/>
    <w:rsid w:val="00AD1234"/>
    <w:rsid w:val="00AD1D3B"/>
    <w:rsid w:val="00AD2669"/>
    <w:rsid w:val="00AD3708"/>
    <w:rsid w:val="00AD4450"/>
    <w:rsid w:val="00AD5BD8"/>
    <w:rsid w:val="00AD68F6"/>
    <w:rsid w:val="00AD7236"/>
    <w:rsid w:val="00AD731D"/>
    <w:rsid w:val="00AE0404"/>
    <w:rsid w:val="00AE312D"/>
    <w:rsid w:val="00AE45B9"/>
    <w:rsid w:val="00AE6E9C"/>
    <w:rsid w:val="00AE7E08"/>
    <w:rsid w:val="00AF0A44"/>
    <w:rsid w:val="00AF3AA5"/>
    <w:rsid w:val="00AF41D4"/>
    <w:rsid w:val="00B01746"/>
    <w:rsid w:val="00B03E79"/>
    <w:rsid w:val="00B04EC7"/>
    <w:rsid w:val="00B05879"/>
    <w:rsid w:val="00B0682A"/>
    <w:rsid w:val="00B10FA7"/>
    <w:rsid w:val="00B13256"/>
    <w:rsid w:val="00B2208E"/>
    <w:rsid w:val="00B26A99"/>
    <w:rsid w:val="00B325DD"/>
    <w:rsid w:val="00B32F15"/>
    <w:rsid w:val="00B33F00"/>
    <w:rsid w:val="00B34A4E"/>
    <w:rsid w:val="00B40A06"/>
    <w:rsid w:val="00B4140A"/>
    <w:rsid w:val="00B41AE0"/>
    <w:rsid w:val="00B41DA8"/>
    <w:rsid w:val="00B42EE2"/>
    <w:rsid w:val="00B43314"/>
    <w:rsid w:val="00B445A8"/>
    <w:rsid w:val="00B46687"/>
    <w:rsid w:val="00B52C08"/>
    <w:rsid w:val="00B54AB4"/>
    <w:rsid w:val="00B55AE1"/>
    <w:rsid w:val="00B5720C"/>
    <w:rsid w:val="00B57BAF"/>
    <w:rsid w:val="00B60519"/>
    <w:rsid w:val="00B6156B"/>
    <w:rsid w:val="00B639FA"/>
    <w:rsid w:val="00B642C4"/>
    <w:rsid w:val="00B656CA"/>
    <w:rsid w:val="00B672A8"/>
    <w:rsid w:val="00B6751A"/>
    <w:rsid w:val="00B67F69"/>
    <w:rsid w:val="00B726A0"/>
    <w:rsid w:val="00B75E5E"/>
    <w:rsid w:val="00B77147"/>
    <w:rsid w:val="00B777AF"/>
    <w:rsid w:val="00B77F66"/>
    <w:rsid w:val="00B8023A"/>
    <w:rsid w:val="00B8048C"/>
    <w:rsid w:val="00B80A24"/>
    <w:rsid w:val="00B81532"/>
    <w:rsid w:val="00B8178D"/>
    <w:rsid w:val="00B83BA4"/>
    <w:rsid w:val="00B849E0"/>
    <w:rsid w:val="00B86C9A"/>
    <w:rsid w:val="00B87032"/>
    <w:rsid w:val="00B878CC"/>
    <w:rsid w:val="00B90755"/>
    <w:rsid w:val="00BA0275"/>
    <w:rsid w:val="00BA0DFF"/>
    <w:rsid w:val="00BA1C7D"/>
    <w:rsid w:val="00BA322E"/>
    <w:rsid w:val="00BA58B4"/>
    <w:rsid w:val="00BA6456"/>
    <w:rsid w:val="00BA68A7"/>
    <w:rsid w:val="00BA70EA"/>
    <w:rsid w:val="00BA77BF"/>
    <w:rsid w:val="00BB1A90"/>
    <w:rsid w:val="00BB3817"/>
    <w:rsid w:val="00BB3D0C"/>
    <w:rsid w:val="00BB4306"/>
    <w:rsid w:val="00BB7AA6"/>
    <w:rsid w:val="00BC0AFF"/>
    <w:rsid w:val="00BC108E"/>
    <w:rsid w:val="00BC2DAC"/>
    <w:rsid w:val="00BC3A37"/>
    <w:rsid w:val="00BC3F8B"/>
    <w:rsid w:val="00BC4137"/>
    <w:rsid w:val="00BC48E5"/>
    <w:rsid w:val="00BC58D4"/>
    <w:rsid w:val="00BD78F6"/>
    <w:rsid w:val="00BD7A4F"/>
    <w:rsid w:val="00BE1C13"/>
    <w:rsid w:val="00BE1DD5"/>
    <w:rsid w:val="00BF0661"/>
    <w:rsid w:val="00C02247"/>
    <w:rsid w:val="00C02660"/>
    <w:rsid w:val="00C032E0"/>
    <w:rsid w:val="00C03A0C"/>
    <w:rsid w:val="00C0491B"/>
    <w:rsid w:val="00C0749C"/>
    <w:rsid w:val="00C10E7A"/>
    <w:rsid w:val="00C11F03"/>
    <w:rsid w:val="00C12123"/>
    <w:rsid w:val="00C12FD0"/>
    <w:rsid w:val="00C208CA"/>
    <w:rsid w:val="00C20973"/>
    <w:rsid w:val="00C224F0"/>
    <w:rsid w:val="00C3041D"/>
    <w:rsid w:val="00C32651"/>
    <w:rsid w:val="00C335D1"/>
    <w:rsid w:val="00C335FB"/>
    <w:rsid w:val="00C347DE"/>
    <w:rsid w:val="00C348F0"/>
    <w:rsid w:val="00C40F94"/>
    <w:rsid w:val="00C41356"/>
    <w:rsid w:val="00C41DBD"/>
    <w:rsid w:val="00C42275"/>
    <w:rsid w:val="00C42398"/>
    <w:rsid w:val="00C4249E"/>
    <w:rsid w:val="00C466DD"/>
    <w:rsid w:val="00C47C2D"/>
    <w:rsid w:val="00C509D1"/>
    <w:rsid w:val="00C50DD2"/>
    <w:rsid w:val="00C51420"/>
    <w:rsid w:val="00C530A6"/>
    <w:rsid w:val="00C53E96"/>
    <w:rsid w:val="00C54321"/>
    <w:rsid w:val="00C576B3"/>
    <w:rsid w:val="00C63891"/>
    <w:rsid w:val="00C641B8"/>
    <w:rsid w:val="00C64AAD"/>
    <w:rsid w:val="00C6672F"/>
    <w:rsid w:val="00C66D80"/>
    <w:rsid w:val="00C67029"/>
    <w:rsid w:val="00C67807"/>
    <w:rsid w:val="00C678B4"/>
    <w:rsid w:val="00C7337F"/>
    <w:rsid w:val="00C74678"/>
    <w:rsid w:val="00C747D8"/>
    <w:rsid w:val="00C747FA"/>
    <w:rsid w:val="00C74D59"/>
    <w:rsid w:val="00C75621"/>
    <w:rsid w:val="00C75E2C"/>
    <w:rsid w:val="00C7701D"/>
    <w:rsid w:val="00C812FA"/>
    <w:rsid w:val="00C82731"/>
    <w:rsid w:val="00C835EC"/>
    <w:rsid w:val="00C9015F"/>
    <w:rsid w:val="00C92F3F"/>
    <w:rsid w:val="00C933AD"/>
    <w:rsid w:val="00C93A44"/>
    <w:rsid w:val="00C953A8"/>
    <w:rsid w:val="00C97275"/>
    <w:rsid w:val="00C97DA0"/>
    <w:rsid w:val="00C97EC4"/>
    <w:rsid w:val="00CA2ABB"/>
    <w:rsid w:val="00CA462A"/>
    <w:rsid w:val="00CA557A"/>
    <w:rsid w:val="00CB0ED0"/>
    <w:rsid w:val="00CB2583"/>
    <w:rsid w:val="00CB70A7"/>
    <w:rsid w:val="00CB7DB9"/>
    <w:rsid w:val="00CC05A1"/>
    <w:rsid w:val="00CC11B8"/>
    <w:rsid w:val="00CC37F2"/>
    <w:rsid w:val="00CC43E2"/>
    <w:rsid w:val="00CC668A"/>
    <w:rsid w:val="00CC70B1"/>
    <w:rsid w:val="00CC7205"/>
    <w:rsid w:val="00CC786C"/>
    <w:rsid w:val="00CD1EC4"/>
    <w:rsid w:val="00CD3DAB"/>
    <w:rsid w:val="00CD5750"/>
    <w:rsid w:val="00CD62DA"/>
    <w:rsid w:val="00CE1EE1"/>
    <w:rsid w:val="00CE20E1"/>
    <w:rsid w:val="00CE261E"/>
    <w:rsid w:val="00CE3EA8"/>
    <w:rsid w:val="00CE401C"/>
    <w:rsid w:val="00CE6C91"/>
    <w:rsid w:val="00CE7DAE"/>
    <w:rsid w:val="00CF2B86"/>
    <w:rsid w:val="00CF374F"/>
    <w:rsid w:val="00CF39AB"/>
    <w:rsid w:val="00CF3DDC"/>
    <w:rsid w:val="00CF3FD0"/>
    <w:rsid w:val="00CF4102"/>
    <w:rsid w:val="00CF5983"/>
    <w:rsid w:val="00CF6C1A"/>
    <w:rsid w:val="00CF6D18"/>
    <w:rsid w:val="00CF7339"/>
    <w:rsid w:val="00D001EB"/>
    <w:rsid w:val="00D00D88"/>
    <w:rsid w:val="00D02868"/>
    <w:rsid w:val="00D029F4"/>
    <w:rsid w:val="00D03212"/>
    <w:rsid w:val="00D05282"/>
    <w:rsid w:val="00D05368"/>
    <w:rsid w:val="00D06C3F"/>
    <w:rsid w:val="00D107DF"/>
    <w:rsid w:val="00D10C10"/>
    <w:rsid w:val="00D10C86"/>
    <w:rsid w:val="00D10F56"/>
    <w:rsid w:val="00D11690"/>
    <w:rsid w:val="00D15385"/>
    <w:rsid w:val="00D15972"/>
    <w:rsid w:val="00D16780"/>
    <w:rsid w:val="00D16BE4"/>
    <w:rsid w:val="00D17052"/>
    <w:rsid w:val="00D223D2"/>
    <w:rsid w:val="00D23035"/>
    <w:rsid w:val="00D234E9"/>
    <w:rsid w:val="00D25DD0"/>
    <w:rsid w:val="00D26D5B"/>
    <w:rsid w:val="00D27FE5"/>
    <w:rsid w:val="00D31AFD"/>
    <w:rsid w:val="00D31DDE"/>
    <w:rsid w:val="00D34058"/>
    <w:rsid w:val="00D35432"/>
    <w:rsid w:val="00D35971"/>
    <w:rsid w:val="00D3613A"/>
    <w:rsid w:val="00D36635"/>
    <w:rsid w:val="00D40169"/>
    <w:rsid w:val="00D42407"/>
    <w:rsid w:val="00D42445"/>
    <w:rsid w:val="00D43FCF"/>
    <w:rsid w:val="00D47B5A"/>
    <w:rsid w:val="00D50483"/>
    <w:rsid w:val="00D51547"/>
    <w:rsid w:val="00D5346E"/>
    <w:rsid w:val="00D5408A"/>
    <w:rsid w:val="00D54B5A"/>
    <w:rsid w:val="00D5634D"/>
    <w:rsid w:val="00D57F05"/>
    <w:rsid w:val="00D6114B"/>
    <w:rsid w:val="00D61711"/>
    <w:rsid w:val="00D64ACC"/>
    <w:rsid w:val="00D6553D"/>
    <w:rsid w:val="00D6768D"/>
    <w:rsid w:val="00D70E4A"/>
    <w:rsid w:val="00D72247"/>
    <w:rsid w:val="00D73FCE"/>
    <w:rsid w:val="00D74176"/>
    <w:rsid w:val="00D74B6C"/>
    <w:rsid w:val="00D76E64"/>
    <w:rsid w:val="00D77A69"/>
    <w:rsid w:val="00D81583"/>
    <w:rsid w:val="00D81734"/>
    <w:rsid w:val="00D82FF5"/>
    <w:rsid w:val="00D83C1C"/>
    <w:rsid w:val="00D8446A"/>
    <w:rsid w:val="00D86F74"/>
    <w:rsid w:val="00D87FC5"/>
    <w:rsid w:val="00D9042D"/>
    <w:rsid w:val="00D914BC"/>
    <w:rsid w:val="00D92213"/>
    <w:rsid w:val="00D928F7"/>
    <w:rsid w:val="00D934CA"/>
    <w:rsid w:val="00D93F5C"/>
    <w:rsid w:val="00DA6E71"/>
    <w:rsid w:val="00DA7970"/>
    <w:rsid w:val="00DB20E1"/>
    <w:rsid w:val="00DB2105"/>
    <w:rsid w:val="00DB217E"/>
    <w:rsid w:val="00DB2632"/>
    <w:rsid w:val="00DB7EED"/>
    <w:rsid w:val="00DC1B62"/>
    <w:rsid w:val="00DC3089"/>
    <w:rsid w:val="00DC31DD"/>
    <w:rsid w:val="00DC5C50"/>
    <w:rsid w:val="00DC5DEE"/>
    <w:rsid w:val="00DC6185"/>
    <w:rsid w:val="00DC79DB"/>
    <w:rsid w:val="00DD0525"/>
    <w:rsid w:val="00DD0675"/>
    <w:rsid w:val="00DD195A"/>
    <w:rsid w:val="00DD371E"/>
    <w:rsid w:val="00DD3BDE"/>
    <w:rsid w:val="00DD58AB"/>
    <w:rsid w:val="00DD5AB5"/>
    <w:rsid w:val="00DD5D34"/>
    <w:rsid w:val="00DE0830"/>
    <w:rsid w:val="00DE19A8"/>
    <w:rsid w:val="00DE1B20"/>
    <w:rsid w:val="00DE1B46"/>
    <w:rsid w:val="00DE4A74"/>
    <w:rsid w:val="00DE538C"/>
    <w:rsid w:val="00DE7EBB"/>
    <w:rsid w:val="00DF1BF8"/>
    <w:rsid w:val="00DF26EE"/>
    <w:rsid w:val="00DF4826"/>
    <w:rsid w:val="00DF4B1D"/>
    <w:rsid w:val="00DF6B28"/>
    <w:rsid w:val="00DF7843"/>
    <w:rsid w:val="00E002B1"/>
    <w:rsid w:val="00E04FE3"/>
    <w:rsid w:val="00E05A2D"/>
    <w:rsid w:val="00E05CB9"/>
    <w:rsid w:val="00E0637E"/>
    <w:rsid w:val="00E06792"/>
    <w:rsid w:val="00E06D2D"/>
    <w:rsid w:val="00E06FA8"/>
    <w:rsid w:val="00E07CEB"/>
    <w:rsid w:val="00E11A45"/>
    <w:rsid w:val="00E137EA"/>
    <w:rsid w:val="00E13E68"/>
    <w:rsid w:val="00E17F5B"/>
    <w:rsid w:val="00E2211E"/>
    <w:rsid w:val="00E231C0"/>
    <w:rsid w:val="00E26FCD"/>
    <w:rsid w:val="00E279EE"/>
    <w:rsid w:val="00E31C10"/>
    <w:rsid w:val="00E31DE2"/>
    <w:rsid w:val="00E32DCA"/>
    <w:rsid w:val="00E3536C"/>
    <w:rsid w:val="00E35EE8"/>
    <w:rsid w:val="00E365D3"/>
    <w:rsid w:val="00E368FE"/>
    <w:rsid w:val="00E36B53"/>
    <w:rsid w:val="00E40137"/>
    <w:rsid w:val="00E4033C"/>
    <w:rsid w:val="00E4199B"/>
    <w:rsid w:val="00E43010"/>
    <w:rsid w:val="00E43D47"/>
    <w:rsid w:val="00E45FDA"/>
    <w:rsid w:val="00E466C0"/>
    <w:rsid w:val="00E470FC"/>
    <w:rsid w:val="00E475CC"/>
    <w:rsid w:val="00E47CD3"/>
    <w:rsid w:val="00E52603"/>
    <w:rsid w:val="00E553D5"/>
    <w:rsid w:val="00E57643"/>
    <w:rsid w:val="00E61609"/>
    <w:rsid w:val="00E61E8C"/>
    <w:rsid w:val="00E621DE"/>
    <w:rsid w:val="00E645AC"/>
    <w:rsid w:val="00E65B4F"/>
    <w:rsid w:val="00E66DAB"/>
    <w:rsid w:val="00E671D5"/>
    <w:rsid w:val="00E709A7"/>
    <w:rsid w:val="00E73216"/>
    <w:rsid w:val="00E7343E"/>
    <w:rsid w:val="00E80411"/>
    <w:rsid w:val="00E805BD"/>
    <w:rsid w:val="00E8229A"/>
    <w:rsid w:val="00E82A5E"/>
    <w:rsid w:val="00E837C7"/>
    <w:rsid w:val="00E83EF1"/>
    <w:rsid w:val="00E84DC7"/>
    <w:rsid w:val="00E85A67"/>
    <w:rsid w:val="00E86544"/>
    <w:rsid w:val="00E87E95"/>
    <w:rsid w:val="00E9051C"/>
    <w:rsid w:val="00E910FA"/>
    <w:rsid w:val="00E92138"/>
    <w:rsid w:val="00E95F0C"/>
    <w:rsid w:val="00E97039"/>
    <w:rsid w:val="00EA052B"/>
    <w:rsid w:val="00EA0C3F"/>
    <w:rsid w:val="00EA1984"/>
    <w:rsid w:val="00EA268E"/>
    <w:rsid w:val="00EA28F4"/>
    <w:rsid w:val="00EA2B1B"/>
    <w:rsid w:val="00EA3130"/>
    <w:rsid w:val="00EA79ED"/>
    <w:rsid w:val="00EA7A17"/>
    <w:rsid w:val="00EB0389"/>
    <w:rsid w:val="00EB18B4"/>
    <w:rsid w:val="00EB4DEB"/>
    <w:rsid w:val="00EB5151"/>
    <w:rsid w:val="00EC0FC2"/>
    <w:rsid w:val="00EC1F2C"/>
    <w:rsid w:val="00EC56DF"/>
    <w:rsid w:val="00EC72D3"/>
    <w:rsid w:val="00EC787C"/>
    <w:rsid w:val="00ED004F"/>
    <w:rsid w:val="00ED0597"/>
    <w:rsid w:val="00ED1350"/>
    <w:rsid w:val="00ED2DDD"/>
    <w:rsid w:val="00ED37EC"/>
    <w:rsid w:val="00ED3C55"/>
    <w:rsid w:val="00ED5E61"/>
    <w:rsid w:val="00ED6FAE"/>
    <w:rsid w:val="00ED7A03"/>
    <w:rsid w:val="00EE012D"/>
    <w:rsid w:val="00EE0146"/>
    <w:rsid w:val="00EE2E41"/>
    <w:rsid w:val="00EE45E5"/>
    <w:rsid w:val="00EF1F1E"/>
    <w:rsid w:val="00EF2D7B"/>
    <w:rsid w:val="00EF2FFB"/>
    <w:rsid w:val="00EF726F"/>
    <w:rsid w:val="00EF7D14"/>
    <w:rsid w:val="00F0395B"/>
    <w:rsid w:val="00F051F1"/>
    <w:rsid w:val="00F0592A"/>
    <w:rsid w:val="00F112AC"/>
    <w:rsid w:val="00F12635"/>
    <w:rsid w:val="00F137AE"/>
    <w:rsid w:val="00F138D6"/>
    <w:rsid w:val="00F15E92"/>
    <w:rsid w:val="00F1716C"/>
    <w:rsid w:val="00F17411"/>
    <w:rsid w:val="00F23F4E"/>
    <w:rsid w:val="00F24743"/>
    <w:rsid w:val="00F261AE"/>
    <w:rsid w:val="00F277B1"/>
    <w:rsid w:val="00F27AC9"/>
    <w:rsid w:val="00F3144E"/>
    <w:rsid w:val="00F31D34"/>
    <w:rsid w:val="00F323D5"/>
    <w:rsid w:val="00F32847"/>
    <w:rsid w:val="00F34E5F"/>
    <w:rsid w:val="00F36EFA"/>
    <w:rsid w:val="00F373AA"/>
    <w:rsid w:val="00F37D5E"/>
    <w:rsid w:val="00F4119E"/>
    <w:rsid w:val="00F419D8"/>
    <w:rsid w:val="00F420D9"/>
    <w:rsid w:val="00F42C5A"/>
    <w:rsid w:val="00F44862"/>
    <w:rsid w:val="00F45162"/>
    <w:rsid w:val="00F451E9"/>
    <w:rsid w:val="00F45A0B"/>
    <w:rsid w:val="00F45C2E"/>
    <w:rsid w:val="00F528AE"/>
    <w:rsid w:val="00F57AD8"/>
    <w:rsid w:val="00F57B1D"/>
    <w:rsid w:val="00F6002F"/>
    <w:rsid w:val="00F62C96"/>
    <w:rsid w:val="00F632B2"/>
    <w:rsid w:val="00F641C7"/>
    <w:rsid w:val="00F703E2"/>
    <w:rsid w:val="00F728CA"/>
    <w:rsid w:val="00F74275"/>
    <w:rsid w:val="00F76480"/>
    <w:rsid w:val="00F83818"/>
    <w:rsid w:val="00F83FED"/>
    <w:rsid w:val="00F858F7"/>
    <w:rsid w:val="00F85EA3"/>
    <w:rsid w:val="00F9027C"/>
    <w:rsid w:val="00F91A43"/>
    <w:rsid w:val="00F91EE5"/>
    <w:rsid w:val="00F942AD"/>
    <w:rsid w:val="00F94E95"/>
    <w:rsid w:val="00F95DDB"/>
    <w:rsid w:val="00F96307"/>
    <w:rsid w:val="00F97CF4"/>
    <w:rsid w:val="00FA0ECA"/>
    <w:rsid w:val="00FA49B4"/>
    <w:rsid w:val="00FA5127"/>
    <w:rsid w:val="00FA5E25"/>
    <w:rsid w:val="00FA651F"/>
    <w:rsid w:val="00FB21DF"/>
    <w:rsid w:val="00FB2A74"/>
    <w:rsid w:val="00FB3F5A"/>
    <w:rsid w:val="00FB79B5"/>
    <w:rsid w:val="00FC37DC"/>
    <w:rsid w:val="00FC3A76"/>
    <w:rsid w:val="00FC4C13"/>
    <w:rsid w:val="00FD27BB"/>
    <w:rsid w:val="00FD2813"/>
    <w:rsid w:val="00FD29F2"/>
    <w:rsid w:val="00FD3241"/>
    <w:rsid w:val="00FD52C3"/>
    <w:rsid w:val="00FD62B2"/>
    <w:rsid w:val="00FD71B4"/>
    <w:rsid w:val="00FD726B"/>
    <w:rsid w:val="00FD7957"/>
    <w:rsid w:val="00FE0043"/>
    <w:rsid w:val="00FE0DE6"/>
    <w:rsid w:val="00FE1509"/>
    <w:rsid w:val="00FE20B3"/>
    <w:rsid w:val="00FE3126"/>
    <w:rsid w:val="00FE66F9"/>
    <w:rsid w:val="00FE6DB0"/>
    <w:rsid w:val="00FF09C6"/>
    <w:rsid w:val="00FF3D4B"/>
    <w:rsid w:val="00FF5C6F"/>
    <w:rsid w:val="00FF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8A3F19-1E74-4324-842C-67B82183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CBB"/>
    <w:rPr>
      <w:sz w:val="24"/>
      <w:szCs w:val="24"/>
    </w:rPr>
  </w:style>
  <w:style w:type="character" w:default="1" w:styleId="DefaultParagraphFont">
    <w:name w:val="Default Paragraph Font"/>
    <w:aliases w:val=" Caracter Caracte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41CBB"/>
    <w:pPr>
      <w:tabs>
        <w:tab w:val="center" w:pos="4153"/>
        <w:tab w:val="right" w:pos="8306"/>
      </w:tabs>
    </w:pPr>
    <w:rPr>
      <w:rFonts w:ascii="RimTimes" w:hAnsi="RimTimes"/>
      <w:sz w:val="28"/>
      <w:szCs w:val="20"/>
      <w:lang w:val="lv-LV"/>
    </w:rPr>
  </w:style>
  <w:style w:type="table" w:styleId="TableGrid">
    <w:name w:val="Table Grid"/>
    <w:basedOn w:val="TableNormal"/>
    <w:uiPriority w:val="39"/>
    <w:rsid w:val="00241C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3652"/>
    <w:rPr>
      <w:color w:val="0000FF"/>
      <w:u w:val="single"/>
    </w:rPr>
  </w:style>
  <w:style w:type="paragraph" w:customStyle="1" w:styleId="CaracterCaracter">
    <w:name w:val=" Caracter Caracter"/>
    <w:basedOn w:val="Normal"/>
    <w:rsid w:val="00343652"/>
    <w:pPr>
      <w:spacing w:after="160" w:line="240" w:lineRule="exact"/>
    </w:pPr>
    <w:rPr>
      <w:rFonts w:ascii="Tahoma" w:hAnsi="Tahoma"/>
      <w:sz w:val="20"/>
      <w:szCs w:val="20"/>
    </w:rPr>
  </w:style>
  <w:style w:type="character" w:styleId="Strong">
    <w:name w:val="Strong"/>
    <w:qFormat/>
    <w:rsid w:val="00874DDC"/>
    <w:rPr>
      <w:b/>
      <w:bCs/>
    </w:rPr>
  </w:style>
  <w:style w:type="paragraph" w:customStyle="1" w:styleId="CaracterCaracterCharCharCaracterCaracter">
    <w:name w:val=" Caracter Caracter Char Char Caracter Caracter"/>
    <w:basedOn w:val="Normal"/>
    <w:link w:val="DefaultParagraphFont"/>
    <w:rsid w:val="00431212"/>
    <w:pPr>
      <w:spacing w:after="160" w:line="240" w:lineRule="exact"/>
    </w:pPr>
    <w:rPr>
      <w:rFonts w:ascii="Tahoma" w:hAnsi="Tahoma"/>
      <w:sz w:val="20"/>
      <w:szCs w:val="20"/>
    </w:rPr>
  </w:style>
  <w:style w:type="character" w:customStyle="1" w:styleId="l5def1">
    <w:name w:val="l5def1"/>
    <w:rsid w:val="00FD726B"/>
    <w:rPr>
      <w:rFonts w:ascii="Arial" w:hAnsi="Arial" w:cs="Arial" w:hint="default"/>
      <w:color w:val="000000"/>
      <w:sz w:val="26"/>
      <w:szCs w:val="26"/>
    </w:rPr>
  </w:style>
  <w:style w:type="character" w:customStyle="1" w:styleId="l5tlu1">
    <w:name w:val="l5tlu1"/>
    <w:rsid w:val="00222E82"/>
    <w:rPr>
      <w:b/>
      <w:bCs/>
      <w:color w:val="000000"/>
      <w:sz w:val="32"/>
      <w:szCs w:val="32"/>
    </w:rPr>
  </w:style>
  <w:style w:type="character" w:customStyle="1" w:styleId="l5def2">
    <w:name w:val="l5def2"/>
    <w:rsid w:val="00772872"/>
    <w:rPr>
      <w:rFonts w:ascii="Arial" w:hAnsi="Arial" w:cs="Arial" w:hint="default"/>
      <w:color w:val="000000"/>
      <w:sz w:val="26"/>
      <w:szCs w:val="26"/>
    </w:rPr>
  </w:style>
  <w:style w:type="character" w:customStyle="1" w:styleId="l5def3">
    <w:name w:val="l5def3"/>
    <w:rsid w:val="00772872"/>
    <w:rPr>
      <w:rFonts w:ascii="Arial" w:hAnsi="Arial" w:cs="Arial" w:hint="default"/>
      <w:color w:val="000000"/>
      <w:sz w:val="26"/>
      <w:szCs w:val="26"/>
    </w:rPr>
  </w:style>
  <w:style w:type="character" w:customStyle="1" w:styleId="l5def4">
    <w:name w:val="l5def4"/>
    <w:rsid w:val="00772872"/>
    <w:rPr>
      <w:rFonts w:ascii="Arial" w:hAnsi="Arial" w:cs="Arial" w:hint="default"/>
      <w:color w:val="000000"/>
      <w:sz w:val="26"/>
      <w:szCs w:val="26"/>
    </w:rPr>
  </w:style>
  <w:style w:type="character" w:customStyle="1" w:styleId="l5def5">
    <w:name w:val="l5def5"/>
    <w:rsid w:val="00772872"/>
    <w:rPr>
      <w:rFonts w:ascii="Arial" w:hAnsi="Arial" w:cs="Arial" w:hint="default"/>
      <w:color w:val="000000"/>
      <w:sz w:val="26"/>
      <w:szCs w:val="26"/>
    </w:rPr>
  </w:style>
  <w:style w:type="paragraph" w:styleId="BalloonText">
    <w:name w:val="Balloon Text"/>
    <w:basedOn w:val="Normal"/>
    <w:link w:val="BalloonTextChar"/>
    <w:rsid w:val="001B4ED7"/>
    <w:rPr>
      <w:rFonts w:ascii="Segoe UI" w:hAnsi="Segoe UI"/>
      <w:sz w:val="18"/>
      <w:szCs w:val="18"/>
    </w:rPr>
  </w:style>
  <w:style w:type="character" w:customStyle="1" w:styleId="BalloonTextChar">
    <w:name w:val="Balloon Text Char"/>
    <w:link w:val="BalloonText"/>
    <w:rsid w:val="001B4ED7"/>
    <w:rPr>
      <w:rFonts w:ascii="Segoe UI" w:hAnsi="Segoe UI" w:cs="Segoe UI"/>
      <w:sz w:val="18"/>
      <w:szCs w:val="18"/>
      <w:lang w:val="en-US" w:eastAsia="en-US"/>
    </w:rPr>
  </w:style>
  <w:style w:type="paragraph" w:styleId="Footer">
    <w:name w:val="footer"/>
    <w:basedOn w:val="Normal"/>
    <w:link w:val="FooterChar"/>
    <w:uiPriority w:val="99"/>
    <w:rsid w:val="00926CC2"/>
    <w:pPr>
      <w:tabs>
        <w:tab w:val="center" w:pos="4680"/>
        <w:tab w:val="right" w:pos="9360"/>
      </w:tabs>
    </w:pPr>
    <w:rPr>
      <w:lang w:val="x-none" w:eastAsia="x-none"/>
    </w:rPr>
  </w:style>
  <w:style w:type="character" w:customStyle="1" w:styleId="FooterChar">
    <w:name w:val="Footer Char"/>
    <w:link w:val="Footer"/>
    <w:uiPriority w:val="99"/>
    <w:rsid w:val="00926CC2"/>
    <w:rPr>
      <w:sz w:val="24"/>
      <w:szCs w:val="24"/>
    </w:rPr>
  </w:style>
  <w:style w:type="paragraph" w:styleId="BodyTextIndent2">
    <w:name w:val="Body Text Indent 2"/>
    <w:basedOn w:val="Normal"/>
    <w:link w:val="BodyTextIndent2Char"/>
    <w:unhideWhenUsed/>
    <w:rsid w:val="007032D5"/>
    <w:pPr>
      <w:autoSpaceDE w:val="0"/>
      <w:autoSpaceDN w:val="0"/>
      <w:adjustRightInd w:val="0"/>
      <w:ind w:left="705"/>
      <w:jc w:val="both"/>
    </w:pPr>
    <w:rPr>
      <w:sz w:val="28"/>
      <w:lang w:val="ro-RO" w:eastAsia="ro-RO"/>
    </w:rPr>
  </w:style>
  <w:style w:type="character" w:customStyle="1" w:styleId="BodyTextIndent2Char">
    <w:name w:val="Body Text Indent 2 Char"/>
    <w:link w:val="BodyTextIndent2"/>
    <w:rsid w:val="007032D5"/>
    <w:rPr>
      <w:sz w:val="28"/>
      <w:szCs w:val="24"/>
      <w:lang w:val="ro-RO" w:eastAsia="ro-RO"/>
    </w:rPr>
  </w:style>
  <w:style w:type="paragraph" w:styleId="ListParagraph">
    <w:name w:val="List Paragraph"/>
    <w:aliases w:val="body 2,List_Paragraph,Multilevel para_II,Listă paragraf1,Dot pt,No Spacing1,List Paragraph Char Char Char,Indicator Text,Numbered Para 1,List Paragraph à moi,LISTA,Listaszerű bekezdés2,Listaszerű bekezdés3,Listaszerű bekezdés1,2,3"/>
    <w:basedOn w:val="Normal"/>
    <w:link w:val="ListParagraphChar"/>
    <w:uiPriority w:val="34"/>
    <w:qFormat/>
    <w:rsid w:val="002567EA"/>
    <w:pPr>
      <w:spacing w:after="200" w:line="276" w:lineRule="auto"/>
      <w:ind w:left="720"/>
      <w:contextualSpacing/>
    </w:pPr>
    <w:rPr>
      <w:rFonts w:ascii="Calibri" w:eastAsia="Calibri" w:hAnsi="Calibri"/>
      <w:sz w:val="22"/>
      <w:szCs w:val="22"/>
      <w:lang w:val="ro-RO" w:eastAsia="x-none"/>
    </w:rPr>
  </w:style>
  <w:style w:type="character" w:styleId="CommentReference">
    <w:name w:val="annotation reference"/>
    <w:rsid w:val="0028653C"/>
    <w:rPr>
      <w:sz w:val="16"/>
      <w:szCs w:val="16"/>
    </w:rPr>
  </w:style>
  <w:style w:type="paragraph" w:styleId="CommentText">
    <w:name w:val="annotation text"/>
    <w:basedOn w:val="Normal"/>
    <w:link w:val="CommentTextChar"/>
    <w:rsid w:val="0028653C"/>
    <w:rPr>
      <w:sz w:val="20"/>
      <w:szCs w:val="20"/>
    </w:rPr>
  </w:style>
  <w:style w:type="character" w:customStyle="1" w:styleId="CommentTextChar">
    <w:name w:val="Comment Text Char"/>
    <w:basedOn w:val="DefaultParagraphFont"/>
    <w:link w:val="CommentText"/>
    <w:rsid w:val="0028653C"/>
  </w:style>
  <w:style w:type="paragraph" w:styleId="CommentSubject">
    <w:name w:val="annotation subject"/>
    <w:basedOn w:val="CommentText"/>
    <w:next w:val="CommentText"/>
    <w:link w:val="CommentSubjectChar"/>
    <w:rsid w:val="0028653C"/>
    <w:rPr>
      <w:b/>
      <w:bCs/>
      <w:lang w:val="x-none" w:eastAsia="x-none"/>
    </w:rPr>
  </w:style>
  <w:style w:type="character" w:customStyle="1" w:styleId="CommentSubjectChar">
    <w:name w:val="Comment Subject Char"/>
    <w:link w:val="CommentSubject"/>
    <w:rsid w:val="0028653C"/>
    <w:rPr>
      <w:b/>
      <w:bCs/>
    </w:rPr>
  </w:style>
  <w:style w:type="character" w:customStyle="1" w:styleId="NoSpacingChar">
    <w:name w:val="No Spacing Char"/>
    <w:link w:val="NoSpacing"/>
    <w:uiPriority w:val="1"/>
    <w:locked/>
    <w:rsid w:val="00C335FB"/>
    <w:rPr>
      <w:lang w:val="en-US" w:eastAsia="en-US" w:bidi="ar-SA"/>
    </w:rPr>
  </w:style>
  <w:style w:type="paragraph" w:styleId="NoSpacing">
    <w:name w:val="No Spacing"/>
    <w:link w:val="NoSpacingChar"/>
    <w:uiPriority w:val="1"/>
    <w:qFormat/>
    <w:rsid w:val="00C335FB"/>
  </w:style>
  <w:style w:type="paragraph" w:styleId="BodyText">
    <w:name w:val="Body Text"/>
    <w:basedOn w:val="Normal"/>
    <w:link w:val="BodyTextChar"/>
    <w:rsid w:val="00055213"/>
    <w:pPr>
      <w:spacing w:after="120"/>
    </w:pPr>
    <w:rPr>
      <w:lang w:val="x-none" w:eastAsia="x-none"/>
    </w:rPr>
  </w:style>
  <w:style w:type="character" w:customStyle="1" w:styleId="BodyTextChar">
    <w:name w:val="Body Text Char"/>
    <w:link w:val="BodyText"/>
    <w:rsid w:val="00055213"/>
    <w:rPr>
      <w:sz w:val="24"/>
      <w:szCs w:val="24"/>
    </w:rPr>
  </w:style>
  <w:style w:type="character" w:customStyle="1" w:styleId="Heading2">
    <w:name w:val="Heading #2_"/>
    <w:link w:val="Heading20"/>
    <w:rsid w:val="00055213"/>
    <w:rPr>
      <w:rFonts w:ascii="Trebuchet MS" w:eastAsia="Trebuchet MS" w:hAnsi="Trebuchet MS" w:cs="Trebuchet MS"/>
      <w:b/>
      <w:bCs/>
      <w:sz w:val="22"/>
      <w:szCs w:val="22"/>
      <w:shd w:val="clear" w:color="auto" w:fill="FFFFFF"/>
    </w:rPr>
  </w:style>
  <w:style w:type="paragraph" w:customStyle="1" w:styleId="Heading20">
    <w:name w:val="Heading #2"/>
    <w:basedOn w:val="Normal"/>
    <w:link w:val="Heading2"/>
    <w:rsid w:val="00055213"/>
    <w:pPr>
      <w:widowControl w:val="0"/>
      <w:shd w:val="clear" w:color="auto" w:fill="FFFFFF"/>
      <w:spacing w:after="100" w:line="254" w:lineRule="auto"/>
      <w:outlineLvl w:val="1"/>
    </w:pPr>
    <w:rPr>
      <w:rFonts w:ascii="Trebuchet MS" w:eastAsia="Trebuchet MS" w:hAnsi="Trebuchet MS"/>
      <w:b/>
      <w:bCs/>
      <w:sz w:val="22"/>
      <w:szCs w:val="22"/>
      <w:lang w:val="x-none" w:eastAsia="x-none"/>
    </w:rPr>
  </w:style>
  <w:style w:type="character" w:customStyle="1" w:styleId="salnbdy">
    <w:name w:val="s_aln_bdy"/>
    <w:rsid w:val="00772665"/>
  </w:style>
  <w:style w:type="character" w:customStyle="1" w:styleId="ListParagraphChar">
    <w:name w:val="List Paragraph Char"/>
    <w:aliases w:val="body 2 Char,List_Paragraph Char,Multilevel para_II Char,Listă paragraf1 Char,Dot pt Char,No Spacing1 Char,List Paragraph Char Char Char Char,Indicator Text Char,Numbered Para 1 Char,List Paragraph à moi Char,LISTA Char,2 Char,3 Char"/>
    <w:link w:val="ListParagraph"/>
    <w:uiPriority w:val="34"/>
    <w:qFormat/>
    <w:locked/>
    <w:rsid w:val="00B52C08"/>
    <w:rPr>
      <w:rFonts w:ascii="Calibri" w:eastAsia="Calibri" w:hAnsi="Calibri" w:cs="Calibri"/>
      <w:sz w:val="22"/>
      <w:szCs w:val="22"/>
      <w:lang w:val="ro-RO"/>
    </w:rPr>
  </w:style>
  <w:style w:type="character" w:styleId="Emphasis">
    <w:name w:val="Emphasis"/>
    <w:qFormat/>
    <w:rsid w:val="003D6E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6136">
      <w:bodyDiv w:val="1"/>
      <w:marLeft w:val="0"/>
      <w:marRight w:val="0"/>
      <w:marTop w:val="0"/>
      <w:marBottom w:val="0"/>
      <w:divBdr>
        <w:top w:val="none" w:sz="0" w:space="0" w:color="auto"/>
        <w:left w:val="none" w:sz="0" w:space="0" w:color="auto"/>
        <w:bottom w:val="none" w:sz="0" w:space="0" w:color="auto"/>
        <w:right w:val="none" w:sz="0" w:space="0" w:color="auto"/>
      </w:divBdr>
    </w:div>
    <w:div w:id="135220781">
      <w:bodyDiv w:val="1"/>
      <w:marLeft w:val="0"/>
      <w:marRight w:val="0"/>
      <w:marTop w:val="0"/>
      <w:marBottom w:val="0"/>
      <w:divBdr>
        <w:top w:val="none" w:sz="0" w:space="0" w:color="auto"/>
        <w:left w:val="none" w:sz="0" w:space="0" w:color="auto"/>
        <w:bottom w:val="none" w:sz="0" w:space="0" w:color="auto"/>
        <w:right w:val="none" w:sz="0" w:space="0" w:color="auto"/>
      </w:divBdr>
    </w:div>
    <w:div w:id="163522639">
      <w:bodyDiv w:val="1"/>
      <w:marLeft w:val="0"/>
      <w:marRight w:val="0"/>
      <w:marTop w:val="0"/>
      <w:marBottom w:val="0"/>
      <w:divBdr>
        <w:top w:val="none" w:sz="0" w:space="0" w:color="auto"/>
        <w:left w:val="none" w:sz="0" w:space="0" w:color="auto"/>
        <w:bottom w:val="none" w:sz="0" w:space="0" w:color="auto"/>
        <w:right w:val="none" w:sz="0" w:space="0" w:color="auto"/>
      </w:divBdr>
    </w:div>
    <w:div w:id="163984382">
      <w:bodyDiv w:val="1"/>
      <w:marLeft w:val="0"/>
      <w:marRight w:val="0"/>
      <w:marTop w:val="0"/>
      <w:marBottom w:val="0"/>
      <w:divBdr>
        <w:top w:val="none" w:sz="0" w:space="0" w:color="auto"/>
        <w:left w:val="none" w:sz="0" w:space="0" w:color="auto"/>
        <w:bottom w:val="none" w:sz="0" w:space="0" w:color="auto"/>
        <w:right w:val="none" w:sz="0" w:space="0" w:color="auto"/>
      </w:divBdr>
    </w:div>
    <w:div w:id="221983298">
      <w:bodyDiv w:val="1"/>
      <w:marLeft w:val="0"/>
      <w:marRight w:val="0"/>
      <w:marTop w:val="0"/>
      <w:marBottom w:val="0"/>
      <w:divBdr>
        <w:top w:val="none" w:sz="0" w:space="0" w:color="auto"/>
        <w:left w:val="none" w:sz="0" w:space="0" w:color="auto"/>
        <w:bottom w:val="none" w:sz="0" w:space="0" w:color="auto"/>
        <w:right w:val="none" w:sz="0" w:space="0" w:color="auto"/>
      </w:divBdr>
      <w:divsChild>
        <w:div w:id="576981717">
          <w:marLeft w:val="0"/>
          <w:marRight w:val="0"/>
          <w:marTop w:val="0"/>
          <w:marBottom w:val="0"/>
          <w:divBdr>
            <w:top w:val="none" w:sz="0" w:space="0" w:color="auto"/>
            <w:left w:val="none" w:sz="0" w:space="0" w:color="auto"/>
            <w:bottom w:val="none" w:sz="0" w:space="0" w:color="auto"/>
            <w:right w:val="none" w:sz="0" w:space="0" w:color="auto"/>
          </w:divBdr>
        </w:div>
        <w:div w:id="846406760">
          <w:marLeft w:val="0"/>
          <w:marRight w:val="0"/>
          <w:marTop w:val="0"/>
          <w:marBottom w:val="0"/>
          <w:divBdr>
            <w:top w:val="none" w:sz="0" w:space="0" w:color="auto"/>
            <w:left w:val="none" w:sz="0" w:space="0" w:color="auto"/>
            <w:bottom w:val="none" w:sz="0" w:space="0" w:color="auto"/>
            <w:right w:val="none" w:sz="0" w:space="0" w:color="auto"/>
          </w:divBdr>
        </w:div>
        <w:div w:id="1046611652">
          <w:marLeft w:val="0"/>
          <w:marRight w:val="0"/>
          <w:marTop w:val="0"/>
          <w:marBottom w:val="0"/>
          <w:divBdr>
            <w:top w:val="none" w:sz="0" w:space="0" w:color="auto"/>
            <w:left w:val="none" w:sz="0" w:space="0" w:color="auto"/>
            <w:bottom w:val="none" w:sz="0" w:space="0" w:color="auto"/>
            <w:right w:val="none" w:sz="0" w:space="0" w:color="auto"/>
          </w:divBdr>
        </w:div>
        <w:div w:id="1536771675">
          <w:marLeft w:val="0"/>
          <w:marRight w:val="0"/>
          <w:marTop w:val="0"/>
          <w:marBottom w:val="0"/>
          <w:divBdr>
            <w:top w:val="none" w:sz="0" w:space="0" w:color="auto"/>
            <w:left w:val="none" w:sz="0" w:space="0" w:color="auto"/>
            <w:bottom w:val="none" w:sz="0" w:space="0" w:color="auto"/>
            <w:right w:val="none" w:sz="0" w:space="0" w:color="auto"/>
          </w:divBdr>
        </w:div>
        <w:div w:id="1732727191">
          <w:marLeft w:val="0"/>
          <w:marRight w:val="0"/>
          <w:marTop w:val="0"/>
          <w:marBottom w:val="0"/>
          <w:divBdr>
            <w:top w:val="none" w:sz="0" w:space="0" w:color="auto"/>
            <w:left w:val="none" w:sz="0" w:space="0" w:color="auto"/>
            <w:bottom w:val="none" w:sz="0" w:space="0" w:color="auto"/>
            <w:right w:val="none" w:sz="0" w:space="0" w:color="auto"/>
          </w:divBdr>
        </w:div>
        <w:div w:id="1893612292">
          <w:marLeft w:val="0"/>
          <w:marRight w:val="0"/>
          <w:marTop w:val="0"/>
          <w:marBottom w:val="0"/>
          <w:divBdr>
            <w:top w:val="none" w:sz="0" w:space="0" w:color="auto"/>
            <w:left w:val="none" w:sz="0" w:space="0" w:color="auto"/>
            <w:bottom w:val="none" w:sz="0" w:space="0" w:color="auto"/>
            <w:right w:val="none" w:sz="0" w:space="0" w:color="auto"/>
          </w:divBdr>
        </w:div>
      </w:divsChild>
    </w:div>
    <w:div w:id="239946765">
      <w:bodyDiv w:val="1"/>
      <w:marLeft w:val="0"/>
      <w:marRight w:val="0"/>
      <w:marTop w:val="0"/>
      <w:marBottom w:val="0"/>
      <w:divBdr>
        <w:top w:val="none" w:sz="0" w:space="0" w:color="auto"/>
        <w:left w:val="none" w:sz="0" w:space="0" w:color="auto"/>
        <w:bottom w:val="none" w:sz="0" w:space="0" w:color="auto"/>
        <w:right w:val="none" w:sz="0" w:space="0" w:color="auto"/>
      </w:divBdr>
      <w:divsChild>
        <w:div w:id="1596086025">
          <w:marLeft w:val="0"/>
          <w:marRight w:val="0"/>
          <w:marTop w:val="0"/>
          <w:marBottom w:val="0"/>
          <w:divBdr>
            <w:top w:val="none" w:sz="0" w:space="0" w:color="auto"/>
            <w:left w:val="none" w:sz="0" w:space="0" w:color="auto"/>
            <w:bottom w:val="none" w:sz="0" w:space="0" w:color="auto"/>
            <w:right w:val="none" w:sz="0" w:space="0" w:color="auto"/>
          </w:divBdr>
          <w:divsChild>
            <w:div w:id="276831972">
              <w:marLeft w:val="0"/>
              <w:marRight w:val="0"/>
              <w:marTop w:val="0"/>
              <w:marBottom w:val="0"/>
              <w:divBdr>
                <w:top w:val="none" w:sz="0" w:space="0" w:color="auto"/>
                <w:left w:val="none" w:sz="0" w:space="0" w:color="auto"/>
                <w:bottom w:val="none" w:sz="0" w:space="0" w:color="auto"/>
                <w:right w:val="none" w:sz="0" w:space="0" w:color="auto"/>
              </w:divBdr>
              <w:divsChild>
                <w:div w:id="370108674">
                  <w:marLeft w:val="0"/>
                  <w:marRight w:val="0"/>
                  <w:marTop w:val="0"/>
                  <w:marBottom w:val="0"/>
                  <w:divBdr>
                    <w:top w:val="none" w:sz="0" w:space="0" w:color="auto"/>
                    <w:left w:val="none" w:sz="0" w:space="0" w:color="auto"/>
                    <w:bottom w:val="none" w:sz="0" w:space="0" w:color="auto"/>
                    <w:right w:val="none" w:sz="0" w:space="0" w:color="auto"/>
                  </w:divBdr>
                </w:div>
              </w:divsChild>
            </w:div>
            <w:div w:id="1748383387">
              <w:marLeft w:val="0"/>
              <w:marRight w:val="0"/>
              <w:marTop w:val="0"/>
              <w:marBottom w:val="0"/>
              <w:divBdr>
                <w:top w:val="none" w:sz="0" w:space="0" w:color="auto"/>
                <w:left w:val="none" w:sz="0" w:space="0" w:color="auto"/>
                <w:bottom w:val="none" w:sz="0" w:space="0" w:color="auto"/>
                <w:right w:val="none" w:sz="0" w:space="0" w:color="auto"/>
              </w:divBdr>
              <w:divsChild>
                <w:div w:id="6551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2489">
      <w:bodyDiv w:val="1"/>
      <w:marLeft w:val="0"/>
      <w:marRight w:val="0"/>
      <w:marTop w:val="0"/>
      <w:marBottom w:val="0"/>
      <w:divBdr>
        <w:top w:val="none" w:sz="0" w:space="0" w:color="auto"/>
        <w:left w:val="none" w:sz="0" w:space="0" w:color="auto"/>
        <w:bottom w:val="none" w:sz="0" w:space="0" w:color="auto"/>
        <w:right w:val="none" w:sz="0" w:space="0" w:color="auto"/>
      </w:divBdr>
      <w:divsChild>
        <w:div w:id="1399086038">
          <w:marLeft w:val="0"/>
          <w:marRight w:val="0"/>
          <w:marTop w:val="0"/>
          <w:marBottom w:val="0"/>
          <w:divBdr>
            <w:top w:val="none" w:sz="0" w:space="0" w:color="auto"/>
            <w:left w:val="none" w:sz="0" w:space="0" w:color="auto"/>
            <w:bottom w:val="none" w:sz="0" w:space="0" w:color="auto"/>
            <w:right w:val="none" w:sz="0" w:space="0" w:color="auto"/>
          </w:divBdr>
        </w:div>
      </w:divsChild>
    </w:div>
    <w:div w:id="381908352">
      <w:bodyDiv w:val="1"/>
      <w:marLeft w:val="0"/>
      <w:marRight w:val="0"/>
      <w:marTop w:val="0"/>
      <w:marBottom w:val="0"/>
      <w:divBdr>
        <w:top w:val="none" w:sz="0" w:space="0" w:color="auto"/>
        <w:left w:val="none" w:sz="0" w:space="0" w:color="auto"/>
        <w:bottom w:val="none" w:sz="0" w:space="0" w:color="auto"/>
        <w:right w:val="none" w:sz="0" w:space="0" w:color="auto"/>
      </w:divBdr>
    </w:div>
    <w:div w:id="421537210">
      <w:bodyDiv w:val="1"/>
      <w:marLeft w:val="0"/>
      <w:marRight w:val="0"/>
      <w:marTop w:val="0"/>
      <w:marBottom w:val="0"/>
      <w:divBdr>
        <w:top w:val="none" w:sz="0" w:space="0" w:color="auto"/>
        <w:left w:val="none" w:sz="0" w:space="0" w:color="auto"/>
        <w:bottom w:val="none" w:sz="0" w:space="0" w:color="auto"/>
        <w:right w:val="none" w:sz="0" w:space="0" w:color="auto"/>
      </w:divBdr>
    </w:div>
    <w:div w:id="436945431">
      <w:bodyDiv w:val="1"/>
      <w:marLeft w:val="0"/>
      <w:marRight w:val="0"/>
      <w:marTop w:val="0"/>
      <w:marBottom w:val="0"/>
      <w:divBdr>
        <w:top w:val="none" w:sz="0" w:space="0" w:color="auto"/>
        <w:left w:val="none" w:sz="0" w:space="0" w:color="auto"/>
        <w:bottom w:val="none" w:sz="0" w:space="0" w:color="auto"/>
        <w:right w:val="none" w:sz="0" w:space="0" w:color="auto"/>
      </w:divBdr>
    </w:div>
    <w:div w:id="444546171">
      <w:bodyDiv w:val="1"/>
      <w:marLeft w:val="0"/>
      <w:marRight w:val="0"/>
      <w:marTop w:val="0"/>
      <w:marBottom w:val="0"/>
      <w:divBdr>
        <w:top w:val="none" w:sz="0" w:space="0" w:color="auto"/>
        <w:left w:val="none" w:sz="0" w:space="0" w:color="auto"/>
        <w:bottom w:val="none" w:sz="0" w:space="0" w:color="auto"/>
        <w:right w:val="none" w:sz="0" w:space="0" w:color="auto"/>
      </w:divBdr>
    </w:div>
    <w:div w:id="534008426">
      <w:bodyDiv w:val="1"/>
      <w:marLeft w:val="0"/>
      <w:marRight w:val="0"/>
      <w:marTop w:val="0"/>
      <w:marBottom w:val="0"/>
      <w:divBdr>
        <w:top w:val="none" w:sz="0" w:space="0" w:color="auto"/>
        <w:left w:val="none" w:sz="0" w:space="0" w:color="auto"/>
        <w:bottom w:val="none" w:sz="0" w:space="0" w:color="auto"/>
        <w:right w:val="none" w:sz="0" w:space="0" w:color="auto"/>
      </w:divBdr>
    </w:div>
    <w:div w:id="601181909">
      <w:bodyDiv w:val="1"/>
      <w:marLeft w:val="0"/>
      <w:marRight w:val="0"/>
      <w:marTop w:val="0"/>
      <w:marBottom w:val="0"/>
      <w:divBdr>
        <w:top w:val="none" w:sz="0" w:space="0" w:color="auto"/>
        <w:left w:val="none" w:sz="0" w:space="0" w:color="auto"/>
        <w:bottom w:val="none" w:sz="0" w:space="0" w:color="auto"/>
        <w:right w:val="none" w:sz="0" w:space="0" w:color="auto"/>
      </w:divBdr>
    </w:div>
    <w:div w:id="621621162">
      <w:bodyDiv w:val="1"/>
      <w:marLeft w:val="0"/>
      <w:marRight w:val="0"/>
      <w:marTop w:val="0"/>
      <w:marBottom w:val="0"/>
      <w:divBdr>
        <w:top w:val="none" w:sz="0" w:space="0" w:color="auto"/>
        <w:left w:val="none" w:sz="0" w:space="0" w:color="auto"/>
        <w:bottom w:val="none" w:sz="0" w:space="0" w:color="auto"/>
        <w:right w:val="none" w:sz="0" w:space="0" w:color="auto"/>
      </w:divBdr>
    </w:div>
    <w:div w:id="630329369">
      <w:bodyDiv w:val="1"/>
      <w:marLeft w:val="0"/>
      <w:marRight w:val="0"/>
      <w:marTop w:val="0"/>
      <w:marBottom w:val="0"/>
      <w:divBdr>
        <w:top w:val="none" w:sz="0" w:space="0" w:color="auto"/>
        <w:left w:val="none" w:sz="0" w:space="0" w:color="auto"/>
        <w:bottom w:val="none" w:sz="0" w:space="0" w:color="auto"/>
        <w:right w:val="none" w:sz="0" w:space="0" w:color="auto"/>
      </w:divBdr>
    </w:div>
    <w:div w:id="832451432">
      <w:bodyDiv w:val="1"/>
      <w:marLeft w:val="0"/>
      <w:marRight w:val="0"/>
      <w:marTop w:val="0"/>
      <w:marBottom w:val="0"/>
      <w:divBdr>
        <w:top w:val="none" w:sz="0" w:space="0" w:color="auto"/>
        <w:left w:val="none" w:sz="0" w:space="0" w:color="auto"/>
        <w:bottom w:val="none" w:sz="0" w:space="0" w:color="auto"/>
        <w:right w:val="none" w:sz="0" w:space="0" w:color="auto"/>
      </w:divBdr>
    </w:div>
    <w:div w:id="941374481">
      <w:bodyDiv w:val="1"/>
      <w:marLeft w:val="0"/>
      <w:marRight w:val="0"/>
      <w:marTop w:val="0"/>
      <w:marBottom w:val="0"/>
      <w:divBdr>
        <w:top w:val="none" w:sz="0" w:space="0" w:color="auto"/>
        <w:left w:val="none" w:sz="0" w:space="0" w:color="auto"/>
        <w:bottom w:val="none" w:sz="0" w:space="0" w:color="auto"/>
        <w:right w:val="none" w:sz="0" w:space="0" w:color="auto"/>
      </w:divBdr>
    </w:div>
    <w:div w:id="983968986">
      <w:bodyDiv w:val="1"/>
      <w:marLeft w:val="0"/>
      <w:marRight w:val="0"/>
      <w:marTop w:val="0"/>
      <w:marBottom w:val="0"/>
      <w:divBdr>
        <w:top w:val="none" w:sz="0" w:space="0" w:color="auto"/>
        <w:left w:val="none" w:sz="0" w:space="0" w:color="auto"/>
        <w:bottom w:val="none" w:sz="0" w:space="0" w:color="auto"/>
        <w:right w:val="none" w:sz="0" w:space="0" w:color="auto"/>
      </w:divBdr>
      <w:divsChild>
        <w:div w:id="1519000156">
          <w:marLeft w:val="0"/>
          <w:marRight w:val="0"/>
          <w:marTop w:val="0"/>
          <w:marBottom w:val="0"/>
          <w:divBdr>
            <w:top w:val="none" w:sz="0" w:space="0" w:color="auto"/>
            <w:left w:val="none" w:sz="0" w:space="0" w:color="auto"/>
            <w:bottom w:val="none" w:sz="0" w:space="0" w:color="auto"/>
            <w:right w:val="none" w:sz="0" w:space="0" w:color="auto"/>
          </w:divBdr>
        </w:div>
      </w:divsChild>
    </w:div>
    <w:div w:id="986011852">
      <w:bodyDiv w:val="1"/>
      <w:marLeft w:val="0"/>
      <w:marRight w:val="0"/>
      <w:marTop w:val="0"/>
      <w:marBottom w:val="0"/>
      <w:divBdr>
        <w:top w:val="none" w:sz="0" w:space="0" w:color="auto"/>
        <w:left w:val="none" w:sz="0" w:space="0" w:color="auto"/>
        <w:bottom w:val="none" w:sz="0" w:space="0" w:color="auto"/>
        <w:right w:val="none" w:sz="0" w:space="0" w:color="auto"/>
      </w:divBdr>
    </w:div>
    <w:div w:id="991058737">
      <w:bodyDiv w:val="1"/>
      <w:marLeft w:val="0"/>
      <w:marRight w:val="0"/>
      <w:marTop w:val="0"/>
      <w:marBottom w:val="0"/>
      <w:divBdr>
        <w:top w:val="none" w:sz="0" w:space="0" w:color="auto"/>
        <w:left w:val="none" w:sz="0" w:space="0" w:color="auto"/>
        <w:bottom w:val="none" w:sz="0" w:space="0" w:color="auto"/>
        <w:right w:val="none" w:sz="0" w:space="0" w:color="auto"/>
      </w:divBdr>
    </w:div>
    <w:div w:id="1013263009">
      <w:bodyDiv w:val="1"/>
      <w:marLeft w:val="0"/>
      <w:marRight w:val="0"/>
      <w:marTop w:val="0"/>
      <w:marBottom w:val="0"/>
      <w:divBdr>
        <w:top w:val="none" w:sz="0" w:space="0" w:color="auto"/>
        <w:left w:val="none" w:sz="0" w:space="0" w:color="auto"/>
        <w:bottom w:val="none" w:sz="0" w:space="0" w:color="auto"/>
        <w:right w:val="none" w:sz="0" w:space="0" w:color="auto"/>
      </w:divBdr>
    </w:div>
    <w:div w:id="1512449332">
      <w:bodyDiv w:val="1"/>
      <w:marLeft w:val="0"/>
      <w:marRight w:val="0"/>
      <w:marTop w:val="0"/>
      <w:marBottom w:val="0"/>
      <w:divBdr>
        <w:top w:val="none" w:sz="0" w:space="0" w:color="auto"/>
        <w:left w:val="none" w:sz="0" w:space="0" w:color="auto"/>
        <w:bottom w:val="none" w:sz="0" w:space="0" w:color="auto"/>
        <w:right w:val="none" w:sz="0" w:space="0" w:color="auto"/>
      </w:divBdr>
    </w:div>
    <w:div w:id="1606302904">
      <w:bodyDiv w:val="1"/>
      <w:marLeft w:val="0"/>
      <w:marRight w:val="0"/>
      <w:marTop w:val="0"/>
      <w:marBottom w:val="0"/>
      <w:divBdr>
        <w:top w:val="none" w:sz="0" w:space="0" w:color="auto"/>
        <w:left w:val="none" w:sz="0" w:space="0" w:color="auto"/>
        <w:bottom w:val="none" w:sz="0" w:space="0" w:color="auto"/>
        <w:right w:val="none" w:sz="0" w:space="0" w:color="auto"/>
      </w:divBdr>
    </w:div>
    <w:div w:id="1634212969">
      <w:bodyDiv w:val="1"/>
      <w:marLeft w:val="0"/>
      <w:marRight w:val="0"/>
      <w:marTop w:val="0"/>
      <w:marBottom w:val="0"/>
      <w:divBdr>
        <w:top w:val="none" w:sz="0" w:space="0" w:color="auto"/>
        <w:left w:val="none" w:sz="0" w:space="0" w:color="auto"/>
        <w:bottom w:val="none" w:sz="0" w:space="0" w:color="auto"/>
        <w:right w:val="none" w:sz="0" w:space="0" w:color="auto"/>
      </w:divBdr>
      <w:divsChild>
        <w:div w:id="1564099548">
          <w:marLeft w:val="0"/>
          <w:marRight w:val="0"/>
          <w:marTop w:val="0"/>
          <w:marBottom w:val="0"/>
          <w:divBdr>
            <w:top w:val="none" w:sz="0" w:space="0" w:color="auto"/>
            <w:left w:val="none" w:sz="0" w:space="0" w:color="auto"/>
            <w:bottom w:val="none" w:sz="0" w:space="0" w:color="auto"/>
            <w:right w:val="none" w:sz="0" w:space="0" w:color="auto"/>
          </w:divBdr>
          <w:divsChild>
            <w:div w:id="7564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8313">
      <w:bodyDiv w:val="1"/>
      <w:marLeft w:val="0"/>
      <w:marRight w:val="0"/>
      <w:marTop w:val="0"/>
      <w:marBottom w:val="0"/>
      <w:divBdr>
        <w:top w:val="none" w:sz="0" w:space="0" w:color="auto"/>
        <w:left w:val="none" w:sz="0" w:space="0" w:color="auto"/>
        <w:bottom w:val="none" w:sz="0" w:space="0" w:color="auto"/>
        <w:right w:val="none" w:sz="0" w:space="0" w:color="auto"/>
      </w:divBdr>
    </w:div>
    <w:div w:id="1708948702">
      <w:bodyDiv w:val="1"/>
      <w:marLeft w:val="0"/>
      <w:marRight w:val="0"/>
      <w:marTop w:val="0"/>
      <w:marBottom w:val="0"/>
      <w:divBdr>
        <w:top w:val="none" w:sz="0" w:space="0" w:color="auto"/>
        <w:left w:val="none" w:sz="0" w:space="0" w:color="auto"/>
        <w:bottom w:val="none" w:sz="0" w:space="0" w:color="auto"/>
        <w:right w:val="none" w:sz="0" w:space="0" w:color="auto"/>
      </w:divBdr>
    </w:div>
    <w:div w:id="1715733269">
      <w:bodyDiv w:val="1"/>
      <w:marLeft w:val="0"/>
      <w:marRight w:val="0"/>
      <w:marTop w:val="0"/>
      <w:marBottom w:val="0"/>
      <w:divBdr>
        <w:top w:val="none" w:sz="0" w:space="0" w:color="auto"/>
        <w:left w:val="none" w:sz="0" w:space="0" w:color="auto"/>
        <w:bottom w:val="none" w:sz="0" w:space="0" w:color="auto"/>
        <w:right w:val="none" w:sz="0" w:space="0" w:color="auto"/>
      </w:divBdr>
      <w:divsChild>
        <w:div w:id="20134057">
          <w:marLeft w:val="0"/>
          <w:marRight w:val="0"/>
          <w:marTop w:val="0"/>
          <w:marBottom w:val="0"/>
          <w:divBdr>
            <w:top w:val="none" w:sz="0" w:space="0" w:color="auto"/>
            <w:left w:val="none" w:sz="0" w:space="0" w:color="auto"/>
            <w:bottom w:val="none" w:sz="0" w:space="0" w:color="auto"/>
            <w:right w:val="none" w:sz="0" w:space="0" w:color="auto"/>
          </w:divBdr>
        </w:div>
        <w:div w:id="86464742">
          <w:marLeft w:val="0"/>
          <w:marRight w:val="0"/>
          <w:marTop w:val="0"/>
          <w:marBottom w:val="0"/>
          <w:divBdr>
            <w:top w:val="none" w:sz="0" w:space="0" w:color="auto"/>
            <w:left w:val="none" w:sz="0" w:space="0" w:color="auto"/>
            <w:bottom w:val="none" w:sz="0" w:space="0" w:color="auto"/>
            <w:right w:val="none" w:sz="0" w:space="0" w:color="auto"/>
          </w:divBdr>
        </w:div>
        <w:div w:id="99685793">
          <w:marLeft w:val="0"/>
          <w:marRight w:val="0"/>
          <w:marTop w:val="0"/>
          <w:marBottom w:val="0"/>
          <w:divBdr>
            <w:top w:val="none" w:sz="0" w:space="0" w:color="auto"/>
            <w:left w:val="none" w:sz="0" w:space="0" w:color="auto"/>
            <w:bottom w:val="none" w:sz="0" w:space="0" w:color="auto"/>
            <w:right w:val="none" w:sz="0" w:space="0" w:color="auto"/>
          </w:divBdr>
        </w:div>
        <w:div w:id="896236268">
          <w:marLeft w:val="0"/>
          <w:marRight w:val="0"/>
          <w:marTop w:val="0"/>
          <w:marBottom w:val="0"/>
          <w:divBdr>
            <w:top w:val="none" w:sz="0" w:space="0" w:color="auto"/>
            <w:left w:val="none" w:sz="0" w:space="0" w:color="auto"/>
            <w:bottom w:val="none" w:sz="0" w:space="0" w:color="auto"/>
            <w:right w:val="none" w:sz="0" w:space="0" w:color="auto"/>
          </w:divBdr>
        </w:div>
        <w:div w:id="1547449416">
          <w:marLeft w:val="0"/>
          <w:marRight w:val="0"/>
          <w:marTop w:val="0"/>
          <w:marBottom w:val="0"/>
          <w:divBdr>
            <w:top w:val="none" w:sz="0" w:space="0" w:color="auto"/>
            <w:left w:val="none" w:sz="0" w:space="0" w:color="auto"/>
            <w:bottom w:val="none" w:sz="0" w:space="0" w:color="auto"/>
            <w:right w:val="none" w:sz="0" w:space="0" w:color="auto"/>
          </w:divBdr>
        </w:div>
        <w:div w:id="1757480736">
          <w:marLeft w:val="0"/>
          <w:marRight w:val="0"/>
          <w:marTop w:val="0"/>
          <w:marBottom w:val="0"/>
          <w:divBdr>
            <w:top w:val="none" w:sz="0" w:space="0" w:color="auto"/>
            <w:left w:val="none" w:sz="0" w:space="0" w:color="auto"/>
            <w:bottom w:val="none" w:sz="0" w:space="0" w:color="auto"/>
            <w:right w:val="none" w:sz="0" w:space="0" w:color="auto"/>
          </w:divBdr>
        </w:div>
      </w:divsChild>
    </w:div>
    <w:div w:id="1806661884">
      <w:bodyDiv w:val="1"/>
      <w:marLeft w:val="0"/>
      <w:marRight w:val="0"/>
      <w:marTop w:val="0"/>
      <w:marBottom w:val="0"/>
      <w:divBdr>
        <w:top w:val="none" w:sz="0" w:space="0" w:color="auto"/>
        <w:left w:val="none" w:sz="0" w:space="0" w:color="auto"/>
        <w:bottom w:val="none" w:sz="0" w:space="0" w:color="auto"/>
        <w:right w:val="none" w:sz="0" w:space="0" w:color="auto"/>
      </w:divBdr>
    </w:div>
    <w:div w:id="2020424744">
      <w:bodyDiv w:val="1"/>
      <w:marLeft w:val="0"/>
      <w:marRight w:val="0"/>
      <w:marTop w:val="0"/>
      <w:marBottom w:val="0"/>
      <w:divBdr>
        <w:top w:val="none" w:sz="0" w:space="0" w:color="auto"/>
        <w:left w:val="none" w:sz="0" w:space="0" w:color="auto"/>
        <w:bottom w:val="none" w:sz="0" w:space="0" w:color="auto"/>
        <w:right w:val="none" w:sz="0" w:space="0" w:color="auto"/>
      </w:divBdr>
    </w:div>
    <w:div w:id="21431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BBBA6-25E3-464C-839B-11ED252D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2118</Words>
  <Characters>12076</Characters>
  <Application>Microsoft Office Word</Application>
  <DocSecurity>0</DocSecurity>
  <Lines>100</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Hewlett-Packard Company</Company>
  <LinksUpToDate>false</LinksUpToDate>
  <CharactersWithSpaces>14166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eagel</dc:creator>
  <cp:keywords/>
  <cp:lastModifiedBy>Microsoft account</cp:lastModifiedBy>
  <cp:revision>2</cp:revision>
  <cp:lastPrinted>2024-12-09T07:39:00Z</cp:lastPrinted>
  <dcterms:created xsi:type="dcterms:W3CDTF">2024-12-16T13:52:00Z</dcterms:created>
  <dcterms:modified xsi:type="dcterms:W3CDTF">2024-12-16T13:52:00Z</dcterms:modified>
</cp:coreProperties>
</file>