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3533A" w14:textId="77777777" w:rsidR="00C36682" w:rsidRPr="001F3106" w:rsidRDefault="00C36682">
      <w:pPr>
        <w:rPr>
          <w:lang w:val="ro-RO"/>
        </w:rPr>
      </w:pPr>
    </w:p>
    <w:p w14:paraId="2C3CD3A1" w14:textId="77777777" w:rsidR="00C36682" w:rsidRPr="001F3106" w:rsidRDefault="00C36682" w:rsidP="00086E9D">
      <w:pPr>
        <w:jc w:val="center"/>
        <w:rPr>
          <w:b/>
          <w:sz w:val="32"/>
          <w:szCs w:val="16"/>
          <w:lang w:val="ro-RO"/>
        </w:rPr>
      </w:pPr>
      <w:bookmarkStart w:id="0" w:name="_GoBack"/>
      <w:bookmarkEnd w:id="0"/>
      <w:r w:rsidRPr="001F3106">
        <w:rPr>
          <w:b/>
          <w:sz w:val="32"/>
          <w:szCs w:val="16"/>
          <w:lang w:val="ro-RO"/>
        </w:rPr>
        <w:t>SCORUL  ASPECTS</w:t>
      </w:r>
    </w:p>
    <w:p w14:paraId="348F8F32" w14:textId="77777777" w:rsidR="00BA6E0E" w:rsidRDefault="009D7A81" w:rsidP="000A1282">
      <w:pPr>
        <w:spacing w:line="240" w:lineRule="auto"/>
        <w:ind w:firstLine="720"/>
        <w:contextualSpacing/>
        <w:jc w:val="both"/>
        <w:rPr>
          <w:b/>
          <w:lang w:val="ro-RO"/>
        </w:rPr>
      </w:pPr>
      <w:r w:rsidRPr="001F3106">
        <w:rPr>
          <w:lang w:val="ro-RO"/>
        </w:rPr>
        <w:t xml:space="preserve">Se utilizează imaginile de tomografie cerebrală fără contrast (nativă). </w:t>
      </w:r>
      <w:r w:rsidR="008C7BCE" w:rsidRPr="001F3106">
        <w:rPr>
          <w:lang w:val="ro-RO"/>
        </w:rPr>
        <w:t>Se vor urmări toate secţiunile axiale şi se va lua în considerare orice semn precoce de ischemie cerebrală.</w:t>
      </w:r>
      <w:r w:rsidR="00BA6E0E" w:rsidRPr="001F3106">
        <w:rPr>
          <w:b/>
          <w:lang w:val="ro-RO"/>
        </w:rPr>
        <w:t xml:space="preserve"> </w:t>
      </w:r>
    </w:p>
    <w:p w14:paraId="36BEAB0A" w14:textId="77777777" w:rsidR="001F3106" w:rsidRPr="001F3106" w:rsidRDefault="001F3106" w:rsidP="000A1282">
      <w:pPr>
        <w:spacing w:line="240" w:lineRule="auto"/>
        <w:ind w:firstLine="720"/>
        <w:contextualSpacing/>
        <w:jc w:val="both"/>
        <w:rPr>
          <w:b/>
          <w:lang w:val="ro-RO"/>
        </w:rPr>
      </w:pPr>
    </w:p>
    <w:p w14:paraId="0275447D" w14:textId="77777777" w:rsidR="00BA6E0E" w:rsidRPr="001F3106" w:rsidRDefault="00BA6E0E" w:rsidP="001F3106">
      <w:pPr>
        <w:spacing w:line="240" w:lineRule="auto"/>
        <w:ind w:firstLine="720"/>
        <w:contextualSpacing/>
        <w:jc w:val="both"/>
        <w:rPr>
          <w:szCs w:val="28"/>
          <w:lang w:val="ro-RO"/>
        </w:rPr>
      </w:pPr>
      <w:r w:rsidRPr="001F3106">
        <w:rPr>
          <w:b/>
          <w:sz w:val="24"/>
          <w:szCs w:val="24"/>
          <w:lang w:val="ro-RO"/>
        </w:rPr>
        <w:t>Scorul ASPECTS</w:t>
      </w:r>
      <w:r w:rsidRPr="001F3106">
        <w:rPr>
          <w:sz w:val="24"/>
          <w:szCs w:val="24"/>
          <w:lang w:val="ro-RO"/>
        </w:rPr>
        <w:t xml:space="preserve"> </w:t>
      </w:r>
      <w:r w:rsidRPr="001F3106">
        <w:rPr>
          <w:lang w:val="ro-RO"/>
        </w:rPr>
        <w:t xml:space="preserve">este determinat utilizând două secţiuni axiale standardizate,  una la nivelul talamusului şi ganglionilor bazali şi alta la nivel supraganglionar, ce include corona radiata şi centrul semioval. Pe aceste două secţiuni, teritoriului arterei cerebrale medii (ACM), îi sunt alocate 10 puncte. </w:t>
      </w:r>
      <w:r w:rsidRPr="001F3106">
        <w:rPr>
          <w:b/>
          <w:lang w:val="ro-RO"/>
        </w:rPr>
        <w:t>Pentru fiecare regiune în care se constată o hipoatenuare parenchimatoasă se scade un punct. Orice modificare ischemică la nivel ganglionar sau inferior de acest nivel va fi atribuită secţiunii ganglionare, iar cele situate superior vor fi atribuite secţiunii supraganglionare.</w:t>
      </w:r>
      <w:r w:rsidRPr="001F3106">
        <w:rPr>
          <w:szCs w:val="28"/>
          <w:lang w:val="ro-RO"/>
        </w:rPr>
        <w:t xml:space="preserve"> </w:t>
      </w:r>
    </w:p>
    <w:p w14:paraId="67D12249" w14:textId="04658B89" w:rsidR="00BA6E0E" w:rsidRPr="001F3106" w:rsidRDefault="00290240" w:rsidP="001F3106">
      <w:pPr>
        <w:spacing w:line="240" w:lineRule="auto"/>
        <w:ind w:firstLine="720"/>
        <w:contextualSpacing/>
        <w:jc w:val="both"/>
        <w:rPr>
          <w:b/>
          <w:lang w:val="ro-RO"/>
        </w:rPr>
      </w:pPr>
      <w:r w:rsidRPr="001F3106">
        <w:rPr>
          <w:b/>
          <w:lang w:val="ro-RO"/>
        </w:rPr>
        <w:t>Practic, doar hipoatenuarea parenchimatoas</w:t>
      </w:r>
      <w:r w:rsidR="00430187" w:rsidRPr="001F3106">
        <w:rPr>
          <w:b/>
          <w:lang w:val="ro-RO"/>
        </w:rPr>
        <w:t>ă</w:t>
      </w:r>
      <w:r w:rsidRPr="001F3106">
        <w:rPr>
          <w:b/>
          <w:lang w:val="ro-RO"/>
        </w:rPr>
        <w:t xml:space="preserve"> (care poate fi hipodensitate focal</w:t>
      </w:r>
      <w:r w:rsidR="00430187" w:rsidRPr="001F3106">
        <w:rPr>
          <w:b/>
          <w:lang w:val="ro-RO"/>
        </w:rPr>
        <w:t>ă</w:t>
      </w:r>
      <w:r w:rsidRPr="001F3106">
        <w:rPr>
          <w:b/>
          <w:lang w:val="ro-RO"/>
        </w:rPr>
        <w:t xml:space="preserve"> </w:t>
      </w:r>
      <w:r w:rsidR="00430187" w:rsidRPr="001F3106">
        <w:rPr>
          <w:b/>
          <w:lang w:val="ro-RO"/>
        </w:rPr>
        <w:t>ș</w:t>
      </w:r>
      <w:r w:rsidRPr="001F3106">
        <w:rPr>
          <w:b/>
          <w:lang w:val="ro-RO"/>
        </w:rPr>
        <w:t xml:space="preserve">i/sau </w:t>
      </w:r>
      <w:r w:rsidR="00430187" w:rsidRPr="001F3106">
        <w:rPr>
          <w:b/>
          <w:lang w:val="ro-RO"/>
        </w:rPr>
        <w:t>ș</w:t>
      </w:r>
      <w:r w:rsidRPr="001F3106">
        <w:rPr>
          <w:b/>
          <w:lang w:val="ro-RO"/>
        </w:rPr>
        <w:t>tergerea diferen</w:t>
      </w:r>
      <w:r w:rsidR="00430187" w:rsidRPr="001F3106">
        <w:rPr>
          <w:b/>
          <w:lang w:val="ro-RO"/>
        </w:rPr>
        <w:t>ț</w:t>
      </w:r>
      <w:r w:rsidRPr="001F3106">
        <w:rPr>
          <w:b/>
          <w:lang w:val="ro-RO"/>
        </w:rPr>
        <w:t>ierii s</w:t>
      </w:r>
      <w:r w:rsidR="001F3106">
        <w:rPr>
          <w:b/>
          <w:lang w:val="ro-RO"/>
        </w:rPr>
        <w:t>ubstanță</w:t>
      </w:r>
      <w:r w:rsidRPr="001F3106">
        <w:rPr>
          <w:b/>
          <w:lang w:val="ro-RO"/>
        </w:rPr>
        <w:t xml:space="preserve"> alb</w:t>
      </w:r>
      <w:r w:rsidR="00430187" w:rsidRPr="001F3106">
        <w:rPr>
          <w:b/>
          <w:lang w:val="ro-RO"/>
        </w:rPr>
        <w:t>ă</w:t>
      </w:r>
      <w:r w:rsidRPr="001F3106">
        <w:rPr>
          <w:b/>
          <w:lang w:val="ro-RO"/>
        </w:rPr>
        <w:t>/s</w:t>
      </w:r>
      <w:r w:rsidR="001F3106">
        <w:rPr>
          <w:b/>
          <w:lang w:val="ro-RO"/>
        </w:rPr>
        <w:t xml:space="preserve">ubstanță </w:t>
      </w:r>
      <w:r w:rsidRPr="001F3106">
        <w:rPr>
          <w:b/>
          <w:lang w:val="ro-RO"/>
        </w:rPr>
        <w:t>cenu</w:t>
      </w:r>
      <w:r w:rsidR="00430187" w:rsidRPr="001F3106">
        <w:rPr>
          <w:b/>
          <w:lang w:val="ro-RO"/>
        </w:rPr>
        <w:t>ș</w:t>
      </w:r>
      <w:r w:rsidRPr="001F3106">
        <w:rPr>
          <w:b/>
          <w:lang w:val="ro-RO"/>
        </w:rPr>
        <w:t>ie, ștergerea conturului ganglionilor bazali) este luat</w:t>
      </w:r>
      <w:r w:rsidR="00430187" w:rsidRPr="001F3106">
        <w:rPr>
          <w:b/>
          <w:lang w:val="ro-RO"/>
        </w:rPr>
        <w:t>ă</w:t>
      </w:r>
      <w:r w:rsidRPr="001F3106">
        <w:rPr>
          <w:b/>
          <w:lang w:val="ro-RO"/>
        </w:rPr>
        <w:t xml:space="preserve"> </w:t>
      </w:r>
      <w:r w:rsidR="00430187" w:rsidRPr="001F3106">
        <w:rPr>
          <w:b/>
          <w:lang w:val="ro-RO"/>
        </w:rPr>
        <w:t>î</w:t>
      </w:r>
      <w:r w:rsidRPr="001F3106">
        <w:rPr>
          <w:b/>
          <w:lang w:val="ro-RO"/>
        </w:rPr>
        <w:t>n considerare pentru scorul ASPECTS</w:t>
      </w:r>
      <w:r w:rsidR="000C1ECB" w:rsidRPr="001F3106">
        <w:rPr>
          <w:b/>
          <w:lang w:val="ro-RO"/>
        </w:rPr>
        <w:t>. H</w:t>
      </w:r>
      <w:r w:rsidRPr="001F3106">
        <w:rPr>
          <w:b/>
          <w:lang w:val="ro-RO"/>
        </w:rPr>
        <w:t>ipoatenuarea reflect</w:t>
      </w:r>
      <w:r w:rsidR="00430187" w:rsidRPr="001F3106">
        <w:rPr>
          <w:b/>
          <w:lang w:val="ro-RO"/>
        </w:rPr>
        <w:t>ă</w:t>
      </w:r>
      <w:r w:rsidRPr="001F3106">
        <w:rPr>
          <w:b/>
          <w:lang w:val="ro-RO"/>
        </w:rPr>
        <w:t xml:space="preserve"> cre</w:t>
      </w:r>
      <w:r w:rsidR="00430187" w:rsidRPr="001F3106">
        <w:rPr>
          <w:b/>
          <w:lang w:val="ro-RO"/>
        </w:rPr>
        <w:t>ș</w:t>
      </w:r>
      <w:r w:rsidRPr="001F3106">
        <w:rPr>
          <w:b/>
          <w:lang w:val="ro-RO"/>
        </w:rPr>
        <w:t>terea con</w:t>
      </w:r>
      <w:r w:rsidR="00430187" w:rsidRPr="001F3106">
        <w:rPr>
          <w:b/>
          <w:lang w:val="ro-RO"/>
        </w:rPr>
        <w:t>ț</w:t>
      </w:r>
      <w:r w:rsidRPr="001F3106">
        <w:rPr>
          <w:b/>
          <w:lang w:val="ro-RO"/>
        </w:rPr>
        <w:t xml:space="preserve">inutului </w:t>
      </w:r>
      <w:r w:rsidR="00430187" w:rsidRPr="001F3106">
        <w:rPr>
          <w:b/>
          <w:lang w:val="ro-RO"/>
        </w:rPr>
        <w:t>î</w:t>
      </w:r>
      <w:r w:rsidRPr="001F3106">
        <w:rPr>
          <w:b/>
          <w:lang w:val="ro-RO"/>
        </w:rPr>
        <w:t>n ap</w:t>
      </w:r>
      <w:r w:rsidR="00430187" w:rsidRPr="001F3106">
        <w:rPr>
          <w:b/>
          <w:lang w:val="ro-RO"/>
        </w:rPr>
        <w:t>ă</w:t>
      </w:r>
      <w:r w:rsidRPr="001F3106">
        <w:rPr>
          <w:b/>
          <w:lang w:val="ro-RO"/>
        </w:rPr>
        <w:t xml:space="preserve"> a </w:t>
      </w:r>
      <w:r w:rsidR="00430187" w:rsidRPr="001F3106">
        <w:rPr>
          <w:b/>
          <w:lang w:val="ro-RO"/>
        </w:rPr>
        <w:t>ț</w:t>
      </w:r>
      <w:r w:rsidRPr="001F3106">
        <w:rPr>
          <w:b/>
          <w:lang w:val="ro-RO"/>
        </w:rPr>
        <w:t>esutului cerebral</w:t>
      </w:r>
      <w:r w:rsidR="0064603E" w:rsidRPr="001F3106">
        <w:rPr>
          <w:b/>
          <w:lang w:val="ro-RO"/>
        </w:rPr>
        <w:t>. Scorul ASPECTS</w:t>
      </w:r>
      <w:r w:rsidRPr="001F3106">
        <w:rPr>
          <w:b/>
          <w:lang w:val="ro-RO"/>
        </w:rPr>
        <w:t xml:space="preserve"> </w:t>
      </w:r>
      <w:r w:rsidR="0064603E" w:rsidRPr="001F3106">
        <w:rPr>
          <w:b/>
          <w:lang w:val="ro-RO"/>
        </w:rPr>
        <w:t xml:space="preserve">scăzut se corelează cu </w:t>
      </w:r>
      <w:r w:rsidRPr="001F3106">
        <w:rPr>
          <w:b/>
          <w:lang w:val="ro-RO"/>
        </w:rPr>
        <w:t xml:space="preserve"> </w:t>
      </w:r>
      <w:r w:rsidR="0064603E" w:rsidRPr="001F3106">
        <w:rPr>
          <w:b/>
          <w:lang w:val="ro-RO"/>
        </w:rPr>
        <w:t>un volum mai mare al infarctului cerebral și cu un prognostic mai puțin favorabil.</w:t>
      </w:r>
    </w:p>
    <w:p w14:paraId="5D1D312C" w14:textId="77777777" w:rsidR="00290240" w:rsidRDefault="00290240" w:rsidP="001F3106">
      <w:pPr>
        <w:spacing w:line="240" w:lineRule="auto"/>
        <w:ind w:firstLine="720"/>
        <w:contextualSpacing/>
        <w:jc w:val="both"/>
        <w:rPr>
          <w:strike/>
          <w:szCs w:val="28"/>
          <w:lang w:val="ro-RO"/>
        </w:rPr>
      </w:pPr>
      <w:r w:rsidRPr="001F3106">
        <w:rPr>
          <w:lang w:val="ro-RO"/>
        </w:rPr>
        <w:t>Deși în scorul ASPECTS așa cum a fost publicat inițial, edemul focal era luat în considerare în calcularea scorului, în prezent se consideră că edemul cerebral focal este o modificare potențial reversibilă și reflectă zona de penumbră; pe hărțile de perfuzie, este caracterizat de o ușoară scădere a fluxului sanguin cerebral, comparativ cu țesutul normal și nu se mai recomandă utilizarea sa în calcularea scorului.</w:t>
      </w:r>
      <w:r w:rsidR="008C1E27" w:rsidRPr="001F3106">
        <w:rPr>
          <w:strike/>
          <w:szCs w:val="28"/>
          <w:lang w:val="ro-RO"/>
        </w:rPr>
        <w:t xml:space="preserve"> </w:t>
      </w:r>
    </w:p>
    <w:p w14:paraId="6296AF1A" w14:textId="77777777" w:rsidR="001F3106" w:rsidRPr="001F3106" w:rsidRDefault="001F3106" w:rsidP="001F3106">
      <w:pPr>
        <w:spacing w:line="240" w:lineRule="auto"/>
        <w:ind w:firstLine="720"/>
        <w:contextualSpacing/>
        <w:jc w:val="both"/>
        <w:rPr>
          <w:szCs w:val="28"/>
          <w:lang w:val="ro-RO"/>
        </w:rPr>
      </w:pPr>
    </w:p>
    <w:p w14:paraId="1A340C28" w14:textId="1C80F75E" w:rsidR="00542417" w:rsidRPr="001F3106" w:rsidRDefault="00BA6E0E" w:rsidP="00047CDB">
      <w:pPr>
        <w:spacing w:before="240" w:line="240" w:lineRule="auto"/>
        <w:jc w:val="both"/>
        <w:rPr>
          <w:szCs w:val="28"/>
          <w:lang w:val="ro-RO"/>
        </w:rPr>
      </w:pPr>
      <w:r w:rsidRPr="001F3106">
        <w:rPr>
          <w:b/>
          <w:i/>
          <w:iCs/>
          <w:sz w:val="16"/>
          <w:szCs w:val="18"/>
          <w:lang w:val="ro-RO"/>
        </w:rPr>
        <w:t>A</w:t>
      </w:r>
      <w:r w:rsidRPr="001F3106">
        <w:rPr>
          <w:i/>
          <w:iCs/>
          <w:sz w:val="16"/>
          <w:szCs w:val="18"/>
          <w:lang w:val="ro-RO"/>
        </w:rPr>
        <w:t xml:space="preserve">=circulaţia anterioară; </w:t>
      </w:r>
      <w:r w:rsidRPr="001F3106">
        <w:rPr>
          <w:b/>
          <w:i/>
          <w:iCs/>
          <w:sz w:val="16"/>
          <w:szCs w:val="18"/>
          <w:lang w:val="ro-RO"/>
        </w:rPr>
        <w:t>P</w:t>
      </w:r>
      <w:r w:rsidRPr="001F3106">
        <w:rPr>
          <w:i/>
          <w:iCs/>
          <w:sz w:val="16"/>
          <w:szCs w:val="18"/>
          <w:lang w:val="ro-RO"/>
        </w:rPr>
        <w:t xml:space="preserve">=circulaţia posterioară; </w:t>
      </w:r>
      <w:r w:rsidRPr="001F3106">
        <w:rPr>
          <w:b/>
          <w:i/>
          <w:iCs/>
          <w:sz w:val="16"/>
          <w:szCs w:val="18"/>
          <w:lang w:val="ro-RO"/>
        </w:rPr>
        <w:t>C</w:t>
      </w:r>
      <w:r w:rsidRPr="001F3106">
        <w:rPr>
          <w:i/>
          <w:iCs/>
          <w:sz w:val="16"/>
          <w:szCs w:val="18"/>
          <w:lang w:val="ro-RO"/>
        </w:rPr>
        <w:t xml:space="preserve">=capul nucleului caudat; </w:t>
      </w:r>
      <w:r w:rsidRPr="001F3106">
        <w:rPr>
          <w:b/>
          <w:i/>
          <w:iCs/>
          <w:sz w:val="16"/>
          <w:szCs w:val="18"/>
          <w:lang w:val="ro-RO"/>
        </w:rPr>
        <w:t>L</w:t>
      </w:r>
      <w:r w:rsidRPr="001F3106">
        <w:rPr>
          <w:i/>
          <w:iCs/>
          <w:sz w:val="16"/>
          <w:szCs w:val="18"/>
          <w:lang w:val="ro-RO"/>
        </w:rPr>
        <w:t>=nucleul lenticular;</w:t>
      </w:r>
      <w:r w:rsidRPr="001F3106">
        <w:rPr>
          <w:b/>
          <w:i/>
          <w:iCs/>
          <w:sz w:val="16"/>
          <w:szCs w:val="18"/>
          <w:lang w:val="ro-RO"/>
        </w:rPr>
        <w:t>IC</w:t>
      </w:r>
      <w:r w:rsidRPr="001F3106">
        <w:rPr>
          <w:i/>
          <w:iCs/>
          <w:sz w:val="16"/>
          <w:szCs w:val="18"/>
          <w:lang w:val="ro-RO"/>
        </w:rPr>
        <w:t xml:space="preserve">=capsula internă; </w:t>
      </w:r>
      <w:r w:rsidRPr="001F3106">
        <w:rPr>
          <w:b/>
          <w:i/>
          <w:iCs/>
          <w:sz w:val="16"/>
          <w:szCs w:val="18"/>
          <w:lang w:val="ro-RO"/>
        </w:rPr>
        <w:t>I</w:t>
      </w:r>
      <w:r w:rsidRPr="001F3106">
        <w:rPr>
          <w:i/>
          <w:iCs/>
          <w:sz w:val="16"/>
          <w:szCs w:val="18"/>
          <w:lang w:val="ro-RO"/>
        </w:rPr>
        <w:t xml:space="preserve">= insula (panglica insular); </w:t>
      </w:r>
      <w:r w:rsidRPr="001F3106">
        <w:rPr>
          <w:b/>
          <w:i/>
          <w:iCs/>
          <w:sz w:val="16"/>
          <w:szCs w:val="18"/>
          <w:lang w:val="ro-RO"/>
        </w:rPr>
        <w:t>M1</w:t>
      </w:r>
      <w:r w:rsidRPr="001F3106">
        <w:rPr>
          <w:i/>
          <w:iCs/>
          <w:sz w:val="16"/>
          <w:szCs w:val="18"/>
          <w:lang w:val="ro-RO"/>
        </w:rPr>
        <w:t xml:space="preserve">= cortex ACM anterior; </w:t>
      </w:r>
      <w:r w:rsidRPr="001F3106">
        <w:rPr>
          <w:b/>
          <w:i/>
          <w:iCs/>
          <w:sz w:val="16"/>
          <w:szCs w:val="18"/>
          <w:lang w:val="ro-RO"/>
        </w:rPr>
        <w:t>M2</w:t>
      </w:r>
      <w:r w:rsidRPr="001F3106">
        <w:rPr>
          <w:i/>
          <w:iCs/>
          <w:sz w:val="16"/>
          <w:szCs w:val="18"/>
          <w:lang w:val="ro-RO"/>
        </w:rPr>
        <w:t xml:space="preserve">= cortex ACM situate lateral de insulă; </w:t>
      </w:r>
      <w:r w:rsidRPr="001F3106">
        <w:rPr>
          <w:b/>
          <w:i/>
          <w:iCs/>
          <w:sz w:val="16"/>
          <w:szCs w:val="18"/>
          <w:lang w:val="ro-RO"/>
        </w:rPr>
        <w:t>M3</w:t>
      </w:r>
      <w:r w:rsidRPr="001F3106">
        <w:rPr>
          <w:i/>
          <w:iCs/>
          <w:sz w:val="16"/>
          <w:szCs w:val="18"/>
          <w:lang w:val="ro-RO"/>
        </w:rPr>
        <w:t xml:space="preserve">= cortex ACM posterior; </w:t>
      </w:r>
      <w:r w:rsidRPr="001F3106">
        <w:rPr>
          <w:b/>
          <w:i/>
          <w:iCs/>
          <w:sz w:val="16"/>
          <w:szCs w:val="18"/>
          <w:lang w:val="ro-RO"/>
        </w:rPr>
        <w:t>M4</w:t>
      </w:r>
      <w:r w:rsidRPr="001F3106">
        <w:rPr>
          <w:i/>
          <w:iCs/>
          <w:sz w:val="16"/>
          <w:szCs w:val="18"/>
          <w:lang w:val="ro-RO"/>
        </w:rPr>
        <w:t xml:space="preserve">, </w:t>
      </w:r>
      <w:r w:rsidRPr="001F3106">
        <w:rPr>
          <w:b/>
          <w:i/>
          <w:iCs/>
          <w:sz w:val="16"/>
          <w:szCs w:val="18"/>
          <w:lang w:val="ro-RO"/>
        </w:rPr>
        <w:t>M5</w:t>
      </w:r>
      <w:r w:rsidRPr="001F3106">
        <w:rPr>
          <w:i/>
          <w:iCs/>
          <w:sz w:val="16"/>
          <w:szCs w:val="18"/>
          <w:lang w:val="ro-RO"/>
        </w:rPr>
        <w:t xml:space="preserve"> şi </w:t>
      </w:r>
      <w:r w:rsidRPr="001F3106">
        <w:rPr>
          <w:b/>
          <w:i/>
          <w:iCs/>
          <w:sz w:val="16"/>
          <w:szCs w:val="18"/>
          <w:lang w:val="ro-RO"/>
        </w:rPr>
        <w:t>M6</w:t>
      </w:r>
      <w:r w:rsidRPr="001F3106">
        <w:rPr>
          <w:i/>
          <w:iCs/>
          <w:sz w:val="16"/>
          <w:szCs w:val="18"/>
          <w:lang w:val="ro-RO"/>
        </w:rPr>
        <w:t xml:space="preserve"> sunt teritoriile  ACM anterior, lateral şi posterior, situate imediat superior faţă de M1, M2 şi M3, rostral faţă de ganglionii bazali. Structurile subcorticale au alocate 3 puncte (C, L şi IC). Teritoriul cortical al ACM are alocate 7 puncte (I, M1, M2, M3, M4, M5, M6) </w:t>
      </w:r>
      <w:r w:rsidR="00672ADF" w:rsidRPr="001F3106">
        <w:rPr>
          <w:noProof/>
        </w:rPr>
        <w:drawing>
          <wp:anchor distT="0" distB="0" distL="114300" distR="114300" simplePos="0" relativeHeight="251658240" behindDoc="1" locked="0" layoutInCell="1" allowOverlap="0" wp14:anchorId="62147C1E" wp14:editId="655822E9">
            <wp:simplePos x="0" y="0"/>
            <wp:positionH relativeFrom="page">
              <wp:align>center</wp:align>
            </wp:positionH>
            <wp:positionV relativeFrom="page">
              <wp:posOffset>5439410</wp:posOffset>
            </wp:positionV>
            <wp:extent cx="5036400" cy="2433600"/>
            <wp:effectExtent l="0" t="0" r="5715" b="5080"/>
            <wp:wrapTopAndBottom/>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lum bright="-4000"/>
                      <a:extLst>
                        <a:ext uri="{28A0092B-C50C-407E-A947-70E740481C1C}">
                          <a14:useLocalDpi xmlns:a14="http://schemas.microsoft.com/office/drawing/2010/main" val="0"/>
                        </a:ext>
                      </a:extLst>
                    </a:blip>
                    <a:srcRect/>
                    <a:stretch>
                      <a:fillRect/>
                    </a:stretch>
                  </pic:blipFill>
                  <pic:spPr bwMode="auto">
                    <a:xfrm>
                      <a:off x="0" y="0"/>
                      <a:ext cx="5036400" cy="24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32575" w14:textId="77777777" w:rsidR="00BA6E0E" w:rsidRPr="001F3106" w:rsidRDefault="00282A99" w:rsidP="00FA07A3">
      <w:pPr>
        <w:pStyle w:val="MediumGrid21"/>
        <w:rPr>
          <w:b/>
          <w:lang w:val="ro-RO"/>
        </w:rPr>
      </w:pPr>
      <w:r w:rsidRPr="001F3106">
        <w:rPr>
          <w:b/>
          <w:lang w:val="ro-RO"/>
        </w:rPr>
        <w:t xml:space="preserve"> </w:t>
      </w:r>
    </w:p>
    <w:p w14:paraId="2E80EBEC" w14:textId="77777777" w:rsidR="00BA6E0E" w:rsidRPr="001F3106" w:rsidRDefault="00BA6E0E" w:rsidP="00FA07A3">
      <w:pPr>
        <w:pStyle w:val="MediumGrid21"/>
        <w:rPr>
          <w:b/>
          <w:lang w:val="ro-RO"/>
        </w:rPr>
      </w:pPr>
    </w:p>
    <w:p w14:paraId="1CCFA090" w14:textId="77777777" w:rsidR="00DD1F3B" w:rsidRPr="001F3106" w:rsidRDefault="00290240" w:rsidP="00047CDB">
      <w:pPr>
        <w:pStyle w:val="MediumGrid21"/>
        <w:rPr>
          <w:b/>
          <w:sz w:val="20"/>
          <w:szCs w:val="20"/>
          <w:lang w:val="ro-RO"/>
        </w:rPr>
      </w:pPr>
      <w:r w:rsidRPr="001F3106">
        <w:rPr>
          <w:b/>
          <w:sz w:val="20"/>
          <w:szCs w:val="20"/>
          <w:lang w:val="ro-RO"/>
        </w:rPr>
        <w:t>SCOR ASPECTS = 10 PUNCTE SEMNIFICĂ</w:t>
      </w:r>
      <w:r w:rsidR="000C1ECB" w:rsidRPr="001F3106">
        <w:rPr>
          <w:b/>
          <w:sz w:val="20"/>
          <w:szCs w:val="20"/>
          <w:lang w:val="ro-RO"/>
        </w:rPr>
        <w:t xml:space="preserve"> ABSENȚA HIPOATENUĂRII PARENCHIMATOASE ÎN TERITORIUL ACM</w:t>
      </w:r>
    </w:p>
    <w:p w14:paraId="644F6F6E" w14:textId="77777777" w:rsidR="00290240" w:rsidRPr="001F3106" w:rsidRDefault="00282A99" w:rsidP="00FA07A3">
      <w:pPr>
        <w:pStyle w:val="MediumGrid21"/>
        <w:jc w:val="center"/>
        <w:rPr>
          <w:b/>
          <w:sz w:val="20"/>
          <w:szCs w:val="20"/>
          <w:lang w:val="ro-RO"/>
        </w:rPr>
      </w:pPr>
      <w:r w:rsidRPr="001F3106">
        <w:rPr>
          <w:b/>
          <w:sz w:val="20"/>
          <w:szCs w:val="20"/>
          <w:lang w:val="ro-RO"/>
        </w:rPr>
        <w:t>SCOR ASPECTS = 0 SEMNIFICĂ AFECTARE ISCHEMICĂ ÎN TOT TERITORIUL ACM</w:t>
      </w:r>
    </w:p>
    <w:p w14:paraId="5672B4DD" w14:textId="77777777" w:rsidR="00290240" w:rsidRPr="001F3106" w:rsidRDefault="00290240" w:rsidP="00FA07A3">
      <w:pPr>
        <w:pStyle w:val="MediumGrid21"/>
        <w:jc w:val="center"/>
        <w:rPr>
          <w:b/>
          <w:sz w:val="20"/>
          <w:szCs w:val="20"/>
          <w:lang w:val="ro-RO"/>
        </w:rPr>
      </w:pPr>
    </w:p>
    <w:p w14:paraId="09915D54" w14:textId="77777777" w:rsidR="00290240" w:rsidRPr="001F3106" w:rsidRDefault="00290240" w:rsidP="00FA07A3">
      <w:pPr>
        <w:pStyle w:val="MediumGrid21"/>
        <w:jc w:val="center"/>
        <w:rPr>
          <w:b/>
          <w:lang w:val="ro-RO"/>
        </w:rPr>
      </w:pPr>
    </w:p>
    <w:p w14:paraId="28B6073B" w14:textId="77777777" w:rsidR="00290240" w:rsidRPr="001F3106" w:rsidRDefault="00290240" w:rsidP="00FA07A3">
      <w:pPr>
        <w:pStyle w:val="MediumGrid21"/>
        <w:rPr>
          <w:b/>
          <w:lang w:val="ro-RO"/>
        </w:rPr>
      </w:pPr>
    </w:p>
    <w:p w14:paraId="6A40203F" w14:textId="77777777" w:rsidR="00290240" w:rsidRPr="001F3106" w:rsidRDefault="00290240" w:rsidP="00FA07A3">
      <w:pPr>
        <w:pStyle w:val="MediumGrid21"/>
        <w:rPr>
          <w:b/>
          <w:lang w:val="ro-RO"/>
        </w:rPr>
      </w:pPr>
    </w:p>
    <w:p w14:paraId="39220B78" w14:textId="77777777" w:rsidR="00290240" w:rsidRPr="001F3106" w:rsidRDefault="00290240" w:rsidP="00FA07A3">
      <w:pPr>
        <w:pStyle w:val="MediumGrid21"/>
        <w:rPr>
          <w:b/>
          <w:lang w:val="ro-RO"/>
        </w:rPr>
      </w:pPr>
    </w:p>
    <w:p w14:paraId="4A44DA57" w14:textId="77777777" w:rsidR="00EF09CC" w:rsidRPr="001F3106" w:rsidRDefault="00EF09CC" w:rsidP="00FA07A3">
      <w:pPr>
        <w:pStyle w:val="MediumGrid21"/>
        <w:jc w:val="both"/>
        <w:rPr>
          <w:b/>
          <w:lang w:val="ro-RO"/>
        </w:rPr>
      </w:pPr>
    </w:p>
    <w:p w14:paraId="6A1EDAB9" w14:textId="0B81552B" w:rsidR="00290240" w:rsidRPr="001F3106" w:rsidRDefault="00430187" w:rsidP="00FA07A3">
      <w:pPr>
        <w:pStyle w:val="MediumGrid21"/>
        <w:jc w:val="both"/>
        <w:rPr>
          <w:bCs/>
          <w:lang w:val="ro-RO"/>
        </w:rPr>
      </w:pPr>
      <w:r w:rsidRPr="001F3106">
        <w:rPr>
          <w:b/>
          <w:sz w:val="24"/>
          <w:szCs w:val="24"/>
          <w:lang w:val="ro-RO"/>
        </w:rPr>
        <w:t>Scorul PC</w:t>
      </w:r>
      <w:r w:rsidR="001F3106" w:rsidRPr="001F3106">
        <w:rPr>
          <w:b/>
          <w:sz w:val="24"/>
          <w:szCs w:val="24"/>
          <w:lang w:val="ro-RO"/>
        </w:rPr>
        <w:t xml:space="preserve"> – </w:t>
      </w:r>
      <w:r w:rsidRPr="001F3106">
        <w:rPr>
          <w:b/>
          <w:sz w:val="24"/>
          <w:szCs w:val="24"/>
          <w:lang w:val="ro-RO"/>
        </w:rPr>
        <w:t>ASPECTS</w:t>
      </w:r>
      <w:r w:rsidR="001F3106" w:rsidRPr="001F3106">
        <w:rPr>
          <w:b/>
          <w:sz w:val="24"/>
          <w:szCs w:val="24"/>
          <w:lang w:val="ro-RO"/>
        </w:rPr>
        <w:t xml:space="preserve"> </w:t>
      </w:r>
      <w:r w:rsidRPr="001F3106">
        <w:rPr>
          <w:bCs/>
          <w:lang w:val="ro-RO"/>
        </w:rPr>
        <w:t xml:space="preserve">reprezintă o variantă a scorului ASPECTS utilizată pentru a evalua </w:t>
      </w:r>
      <w:r w:rsidR="000C1ECB" w:rsidRPr="001F3106">
        <w:rPr>
          <w:bCs/>
          <w:lang w:val="ro-RO"/>
        </w:rPr>
        <w:t>extensia</w:t>
      </w:r>
      <w:r w:rsidRPr="001F3106">
        <w:rPr>
          <w:bCs/>
          <w:lang w:val="ro-RO"/>
        </w:rPr>
        <w:t xml:space="preserve"> modificărilor ischemice precoce în teritoriul vascular posterior (vertebro- bazilar)</w:t>
      </w:r>
      <w:r w:rsidR="000C1ECB" w:rsidRPr="001F3106">
        <w:rPr>
          <w:bCs/>
          <w:lang w:val="ro-RO"/>
        </w:rPr>
        <w:t>.</w:t>
      </w:r>
    </w:p>
    <w:p w14:paraId="3CB9ED22" w14:textId="77777777" w:rsidR="00430187" w:rsidRPr="001F3106" w:rsidRDefault="00430187" w:rsidP="00FA07A3">
      <w:pPr>
        <w:pStyle w:val="MediumGrid21"/>
        <w:jc w:val="both"/>
        <w:rPr>
          <w:bCs/>
          <w:lang w:val="ro-RO"/>
        </w:rPr>
      </w:pPr>
      <w:r w:rsidRPr="001F3106">
        <w:rPr>
          <w:bCs/>
          <w:lang w:val="ro-RO"/>
        </w:rPr>
        <w:t>Se aplică aceleași reguli pentru calcularea punctajului ca și pentru scorul ASPECTS, scor</w:t>
      </w:r>
      <w:r w:rsidR="000C1ECB" w:rsidRPr="001F3106">
        <w:rPr>
          <w:bCs/>
          <w:lang w:val="ro-RO"/>
        </w:rPr>
        <w:t>ul</w:t>
      </w:r>
      <w:r w:rsidRPr="001F3106">
        <w:rPr>
          <w:bCs/>
          <w:lang w:val="ro-RO"/>
        </w:rPr>
        <w:t xml:space="preserve"> </w:t>
      </w:r>
      <w:r w:rsidR="000C1ECB" w:rsidRPr="001F3106">
        <w:rPr>
          <w:bCs/>
          <w:lang w:val="ro-RO"/>
        </w:rPr>
        <w:t xml:space="preserve">maxim fiind de </w:t>
      </w:r>
      <w:r w:rsidRPr="001F3106">
        <w:rPr>
          <w:bCs/>
          <w:lang w:val="ro-RO"/>
        </w:rPr>
        <w:t>10 puncte. Orice hipoatenuare parenchimatoasă duce la scăderea punctajului, după cum urmează:</w:t>
      </w:r>
    </w:p>
    <w:p w14:paraId="43CB09D8" w14:textId="77777777" w:rsidR="00CD6927" w:rsidRPr="001F3106" w:rsidRDefault="00CD6927" w:rsidP="00FA07A3">
      <w:pPr>
        <w:pStyle w:val="MediumGrid21"/>
        <w:numPr>
          <w:ilvl w:val="0"/>
          <w:numId w:val="5"/>
        </w:numPr>
        <w:ind w:firstLine="0"/>
        <w:jc w:val="both"/>
        <w:rPr>
          <w:bCs/>
          <w:lang w:val="ro-RO"/>
        </w:rPr>
      </w:pPr>
      <w:r w:rsidRPr="001F3106">
        <w:rPr>
          <w:bCs/>
          <w:lang w:val="ro-RO"/>
        </w:rPr>
        <w:t>Cerebel- câte 1 punct pentru fiecare emisfer</w:t>
      </w:r>
    </w:p>
    <w:p w14:paraId="5F456ACD" w14:textId="77777777" w:rsidR="00CD6927" w:rsidRPr="001F3106" w:rsidRDefault="00CD6927" w:rsidP="00FA07A3">
      <w:pPr>
        <w:pStyle w:val="MediumGrid21"/>
        <w:numPr>
          <w:ilvl w:val="0"/>
          <w:numId w:val="5"/>
        </w:numPr>
        <w:ind w:firstLine="0"/>
        <w:jc w:val="both"/>
        <w:rPr>
          <w:bCs/>
          <w:lang w:val="ro-RO"/>
        </w:rPr>
      </w:pPr>
      <w:r w:rsidRPr="001F3106">
        <w:rPr>
          <w:bCs/>
          <w:lang w:val="ro-RO"/>
        </w:rPr>
        <w:t>Punte – 2 puncte</w:t>
      </w:r>
    </w:p>
    <w:p w14:paraId="051F1152" w14:textId="77777777" w:rsidR="00CD6927" w:rsidRPr="001F3106" w:rsidRDefault="00CD6927" w:rsidP="00FA07A3">
      <w:pPr>
        <w:pStyle w:val="MediumGrid21"/>
        <w:numPr>
          <w:ilvl w:val="0"/>
          <w:numId w:val="5"/>
        </w:numPr>
        <w:ind w:firstLine="0"/>
        <w:jc w:val="both"/>
        <w:rPr>
          <w:bCs/>
          <w:lang w:val="ro-RO"/>
        </w:rPr>
      </w:pPr>
      <w:r w:rsidRPr="001F3106">
        <w:rPr>
          <w:bCs/>
          <w:lang w:val="ro-RO"/>
        </w:rPr>
        <w:t>Mezencefal- 2 puncte</w:t>
      </w:r>
    </w:p>
    <w:p w14:paraId="13E817E9" w14:textId="77777777" w:rsidR="00430187" w:rsidRPr="001F3106" w:rsidRDefault="00430187" w:rsidP="00FA07A3">
      <w:pPr>
        <w:pStyle w:val="MediumGrid21"/>
        <w:numPr>
          <w:ilvl w:val="0"/>
          <w:numId w:val="5"/>
        </w:numPr>
        <w:ind w:firstLine="0"/>
        <w:jc w:val="both"/>
        <w:rPr>
          <w:bCs/>
          <w:lang w:val="ro-RO"/>
        </w:rPr>
      </w:pPr>
      <w:r w:rsidRPr="001F3106">
        <w:rPr>
          <w:bCs/>
          <w:lang w:val="ro-RO"/>
        </w:rPr>
        <w:t>Talamus – câte 1 punct pentru fiecare emisfer</w:t>
      </w:r>
    </w:p>
    <w:p w14:paraId="49EA040F" w14:textId="77777777" w:rsidR="00430187" w:rsidRPr="001F3106" w:rsidRDefault="00430187" w:rsidP="00FA07A3">
      <w:pPr>
        <w:pStyle w:val="MediumGrid21"/>
        <w:numPr>
          <w:ilvl w:val="0"/>
          <w:numId w:val="5"/>
        </w:numPr>
        <w:ind w:firstLine="0"/>
        <w:jc w:val="both"/>
        <w:rPr>
          <w:bCs/>
          <w:lang w:val="ro-RO"/>
        </w:rPr>
      </w:pPr>
      <w:r w:rsidRPr="001F3106">
        <w:rPr>
          <w:bCs/>
          <w:lang w:val="ro-RO"/>
        </w:rPr>
        <w:t>Lobul occipital- câte 1 punct pentru fiecare emisfer</w:t>
      </w:r>
    </w:p>
    <w:p w14:paraId="5689DFB7" w14:textId="77777777" w:rsidR="00D565C9" w:rsidRPr="001F3106" w:rsidRDefault="00D565C9" w:rsidP="00D565C9">
      <w:pPr>
        <w:pStyle w:val="MediumGrid21"/>
        <w:jc w:val="both"/>
        <w:rPr>
          <w:bCs/>
          <w:lang w:val="ro-RO"/>
        </w:rPr>
      </w:pPr>
    </w:p>
    <w:p w14:paraId="31AA990E" w14:textId="77777777" w:rsidR="00CD6927" w:rsidRPr="001F3106" w:rsidRDefault="00CD6927" w:rsidP="00FA07A3">
      <w:pPr>
        <w:pStyle w:val="MediumGrid21"/>
        <w:ind w:left="360"/>
        <w:jc w:val="both"/>
        <w:rPr>
          <w:bCs/>
          <w:lang w:val="ro-RO"/>
        </w:rPr>
      </w:pPr>
    </w:p>
    <w:p w14:paraId="78BE6D3F" w14:textId="77777777" w:rsidR="00CD6927" w:rsidRPr="001F3106" w:rsidRDefault="00672ADF" w:rsidP="00FA07A3">
      <w:pPr>
        <w:pStyle w:val="MediumGrid21"/>
        <w:ind w:left="360"/>
        <w:jc w:val="both"/>
        <w:rPr>
          <w:bCs/>
          <w:lang w:val="ro-RO"/>
        </w:rPr>
      </w:pPr>
      <w:r w:rsidRPr="001F3106">
        <w:rPr>
          <w:noProof/>
        </w:rPr>
        <w:drawing>
          <wp:anchor distT="0" distB="0" distL="114300" distR="114300" simplePos="0" relativeHeight="251658241" behindDoc="0" locked="0" layoutInCell="1" allowOverlap="1" wp14:anchorId="2E7FBAC6" wp14:editId="46A7DC98">
            <wp:simplePos x="0" y="0"/>
            <wp:positionH relativeFrom="page">
              <wp:align>center</wp:align>
            </wp:positionH>
            <wp:positionV relativeFrom="paragraph">
              <wp:posOffset>237490</wp:posOffset>
            </wp:positionV>
            <wp:extent cx="5943600" cy="2447925"/>
            <wp:effectExtent l="0" t="0" r="0" b="0"/>
            <wp:wrapTopAndBottom/>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C720ECF" w14:textId="77777777" w:rsidR="00CD6927" w:rsidRPr="001F3106" w:rsidRDefault="00CD6927" w:rsidP="00FA07A3">
      <w:pPr>
        <w:pStyle w:val="MediumGrid21"/>
        <w:ind w:left="360"/>
        <w:jc w:val="both"/>
        <w:rPr>
          <w:bCs/>
          <w:lang w:val="ro-RO"/>
        </w:rPr>
      </w:pPr>
    </w:p>
    <w:p w14:paraId="1736FE4D" w14:textId="308AF2A5" w:rsidR="00430187" w:rsidRPr="001F3106" w:rsidRDefault="00430187" w:rsidP="00FA07A3">
      <w:pPr>
        <w:pStyle w:val="MediumGrid21"/>
        <w:jc w:val="center"/>
        <w:rPr>
          <w:sz w:val="20"/>
          <w:szCs w:val="20"/>
          <w:lang w:val="ro-RO"/>
        </w:rPr>
      </w:pPr>
      <w:r w:rsidRPr="001F3106">
        <w:rPr>
          <w:b/>
          <w:sz w:val="20"/>
          <w:szCs w:val="20"/>
          <w:lang w:val="ro-RO"/>
        </w:rPr>
        <w:t>SCOR PC</w:t>
      </w:r>
      <w:r w:rsidR="001F3106">
        <w:rPr>
          <w:b/>
          <w:sz w:val="20"/>
          <w:szCs w:val="20"/>
          <w:lang w:val="ro-RO"/>
        </w:rPr>
        <w:t xml:space="preserve"> – </w:t>
      </w:r>
      <w:r w:rsidRPr="001F3106">
        <w:rPr>
          <w:b/>
          <w:sz w:val="20"/>
          <w:szCs w:val="20"/>
          <w:lang w:val="ro-RO"/>
        </w:rPr>
        <w:t>ASPECTS</w:t>
      </w:r>
      <w:r w:rsidR="001F3106">
        <w:rPr>
          <w:b/>
          <w:sz w:val="20"/>
          <w:szCs w:val="20"/>
          <w:lang w:val="ro-RO"/>
        </w:rPr>
        <w:t xml:space="preserve"> </w:t>
      </w:r>
      <w:r w:rsidRPr="001F3106">
        <w:rPr>
          <w:b/>
          <w:sz w:val="20"/>
          <w:szCs w:val="20"/>
          <w:lang w:val="ro-RO"/>
        </w:rPr>
        <w:t xml:space="preserve"> = 10 PUNCTE SEMNIFICĂ</w:t>
      </w:r>
      <w:r w:rsidR="000C1ECB" w:rsidRPr="001F3106">
        <w:rPr>
          <w:b/>
          <w:sz w:val="20"/>
          <w:szCs w:val="20"/>
          <w:lang w:val="ro-RO"/>
        </w:rPr>
        <w:t xml:space="preserve"> ABSENȚA HIPOATENUĂRII PARENCHIMATOASE ÎN TERITORIUL VERTEBRO-BAZILAR</w:t>
      </w:r>
    </w:p>
    <w:p w14:paraId="33C68852" w14:textId="0C0C6BF3" w:rsidR="00430187" w:rsidRPr="001F3106" w:rsidRDefault="00430187" w:rsidP="00FA07A3">
      <w:pPr>
        <w:pStyle w:val="MediumGrid21"/>
        <w:jc w:val="center"/>
        <w:rPr>
          <w:b/>
          <w:sz w:val="20"/>
          <w:szCs w:val="20"/>
          <w:lang w:val="ro-RO"/>
        </w:rPr>
      </w:pPr>
      <w:r w:rsidRPr="001F3106">
        <w:rPr>
          <w:b/>
          <w:sz w:val="20"/>
          <w:szCs w:val="20"/>
          <w:lang w:val="ro-RO"/>
        </w:rPr>
        <w:t>SCOR PC</w:t>
      </w:r>
      <w:r w:rsidR="001F3106">
        <w:rPr>
          <w:b/>
          <w:sz w:val="20"/>
          <w:szCs w:val="20"/>
          <w:lang w:val="ro-RO"/>
        </w:rPr>
        <w:t xml:space="preserve"> – </w:t>
      </w:r>
      <w:r w:rsidRPr="001F3106">
        <w:rPr>
          <w:b/>
          <w:sz w:val="20"/>
          <w:szCs w:val="20"/>
          <w:lang w:val="ro-RO"/>
        </w:rPr>
        <w:t>ASPECTS</w:t>
      </w:r>
      <w:r w:rsidR="001F3106">
        <w:rPr>
          <w:b/>
          <w:sz w:val="20"/>
          <w:szCs w:val="20"/>
          <w:lang w:val="ro-RO"/>
        </w:rPr>
        <w:t xml:space="preserve"> </w:t>
      </w:r>
      <w:r w:rsidRPr="001F3106">
        <w:rPr>
          <w:b/>
          <w:sz w:val="20"/>
          <w:szCs w:val="20"/>
          <w:lang w:val="ro-RO"/>
        </w:rPr>
        <w:t>= 0 SEMNIFICĂ AFECTARE ISCHEMICĂ ÎN TOT TERITORIUL VERTEBRO-BAZILAR</w:t>
      </w:r>
    </w:p>
    <w:p w14:paraId="62687C0B" w14:textId="77777777" w:rsidR="00430187" w:rsidRPr="001F3106" w:rsidRDefault="00430187" w:rsidP="00FA07A3">
      <w:pPr>
        <w:pStyle w:val="MediumGrid21"/>
        <w:jc w:val="both"/>
        <w:rPr>
          <w:b/>
          <w:sz w:val="20"/>
          <w:szCs w:val="20"/>
          <w:lang w:val="ro-RO"/>
        </w:rPr>
      </w:pPr>
    </w:p>
    <w:p w14:paraId="5D6B8C0F" w14:textId="77777777" w:rsidR="00430187" w:rsidRPr="001F3106" w:rsidRDefault="00430187" w:rsidP="00FA07A3">
      <w:pPr>
        <w:pStyle w:val="MediumGrid21"/>
        <w:rPr>
          <w:bCs/>
          <w:sz w:val="20"/>
          <w:szCs w:val="20"/>
          <w:lang w:val="ro-RO"/>
        </w:rPr>
      </w:pPr>
    </w:p>
    <w:p w14:paraId="01E90208" w14:textId="77777777" w:rsidR="00290240" w:rsidRPr="001F3106" w:rsidRDefault="00290240" w:rsidP="00FA07A3">
      <w:pPr>
        <w:pStyle w:val="MediumGrid21"/>
        <w:rPr>
          <w:b/>
          <w:lang w:val="ro-RO"/>
        </w:rPr>
      </w:pPr>
    </w:p>
    <w:p w14:paraId="62FF9391" w14:textId="77777777" w:rsidR="00290240" w:rsidRPr="001F3106" w:rsidRDefault="00290240" w:rsidP="00FA07A3">
      <w:pPr>
        <w:pStyle w:val="MediumGrid21"/>
        <w:rPr>
          <w:b/>
          <w:lang w:val="ro-RO"/>
        </w:rPr>
      </w:pPr>
    </w:p>
    <w:p w14:paraId="01CD1765" w14:textId="77777777" w:rsidR="00290240" w:rsidRPr="001F3106" w:rsidRDefault="00290240" w:rsidP="00FA07A3">
      <w:pPr>
        <w:pStyle w:val="MediumGrid21"/>
        <w:rPr>
          <w:b/>
          <w:lang w:val="ro-RO"/>
        </w:rPr>
      </w:pPr>
    </w:p>
    <w:p w14:paraId="34072F85" w14:textId="77777777" w:rsidR="00290240" w:rsidRPr="001F3106" w:rsidRDefault="00290240" w:rsidP="00FA07A3">
      <w:pPr>
        <w:pStyle w:val="MediumGrid21"/>
        <w:rPr>
          <w:b/>
          <w:lang w:val="ro-RO"/>
        </w:rPr>
      </w:pPr>
    </w:p>
    <w:p w14:paraId="12B6D325" w14:textId="77777777" w:rsidR="00CD6927" w:rsidRPr="001F3106" w:rsidRDefault="00CD6927" w:rsidP="00FA07A3">
      <w:pPr>
        <w:pStyle w:val="MediumGrid21"/>
        <w:rPr>
          <w:b/>
          <w:lang w:val="ro-RO"/>
        </w:rPr>
      </w:pPr>
    </w:p>
    <w:p w14:paraId="0ACEE40C" w14:textId="77777777" w:rsidR="00290240" w:rsidRPr="001F3106" w:rsidRDefault="00290240" w:rsidP="00FA07A3">
      <w:pPr>
        <w:pStyle w:val="MediumGrid21"/>
        <w:rPr>
          <w:b/>
          <w:lang w:val="ro-RO"/>
        </w:rPr>
      </w:pPr>
    </w:p>
    <w:p w14:paraId="3E0F5D47" w14:textId="77777777" w:rsidR="00290240" w:rsidRPr="001F3106" w:rsidRDefault="00290240" w:rsidP="00347CEB">
      <w:pPr>
        <w:pStyle w:val="MediumGrid21"/>
        <w:rPr>
          <w:b/>
          <w:lang w:val="ro-RO"/>
        </w:rPr>
      </w:pPr>
    </w:p>
    <w:p w14:paraId="6E7A3A1E" w14:textId="77777777" w:rsidR="004B1201" w:rsidRPr="001F3106" w:rsidRDefault="004B1201" w:rsidP="00347CEB">
      <w:pPr>
        <w:pStyle w:val="MediumGrid21"/>
        <w:rPr>
          <w:lang w:val="ro-RO"/>
        </w:rPr>
      </w:pPr>
      <w:r w:rsidRPr="001F3106">
        <w:rPr>
          <w:b/>
          <w:lang w:val="ro-RO"/>
        </w:rPr>
        <w:t xml:space="preserve">  </w:t>
      </w:r>
    </w:p>
    <w:sectPr w:rsidR="004B1201" w:rsidRPr="001F3106" w:rsidSect="009526A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1710B" w14:textId="77777777" w:rsidR="00C8328D" w:rsidRDefault="00C8328D" w:rsidP="00C36682">
      <w:pPr>
        <w:spacing w:after="0" w:line="240" w:lineRule="auto"/>
      </w:pPr>
      <w:r>
        <w:separator/>
      </w:r>
    </w:p>
  </w:endnote>
  <w:endnote w:type="continuationSeparator" w:id="0">
    <w:p w14:paraId="5502505F" w14:textId="77777777" w:rsidR="00C8328D" w:rsidRDefault="00C8328D" w:rsidP="00C36682">
      <w:pPr>
        <w:spacing w:after="0" w:line="240" w:lineRule="auto"/>
      </w:pPr>
      <w:r>
        <w:continuationSeparator/>
      </w:r>
    </w:p>
  </w:endnote>
  <w:endnote w:type="continuationNotice" w:id="1">
    <w:p w14:paraId="1E6F0CDA" w14:textId="77777777" w:rsidR="00C8328D" w:rsidRDefault="00C83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49F7" w14:textId="77777777" w:rsidR="00C8328D" w:rsidRDefault="00C8328D" w:rsidP="00C36682">
      <w:pPr>
        <w:spacing w:after="0" w:line="240" w:lineRule="auto"/>
      </w:pPr>
      <w:r>
        <w:separator/>
      </w:r>
    </w:p>
  </w:footnote>
  <w:footnote w:type="continuationSeparator" w:id="0">
    <w:p w14:paraId="3192F47D" w14:textId="77777777" w:rsidR="00C8328D" w:rsidRDefault="00C8328D" w:rsidP="00C36682">
      <w:pPr>
        <w:spacing w:after="0" w:line="240" w:lineRule="auto"/>
      </w:pPr>
      <w:r>
        <w:continuationSeparator/>
      </w:r>
    </w:p>
  </w:footnote>
  <w:footnote w:type="continuationNotice" w:id="1">
    <w:p w14:paraId="19F437CA" w14:textId="77777777" w:rsidR="00C8328D" w:rsidRDefault="00C832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C77B" w14:textId="1A656E4C" w:rsidR="00C36682" w:rsidRPr="00D227CF" w:rsidRDefault="00C36682" w:rsidP="001F3106">
    <w:pPr>
      <w:pStyle w:val="Header"/>
      <w:ind w:left="-426"/>
      <w:rPr>
        <w:b/>
        <w:i/>
        <w:sz w:val="20"/>
        <w:szCs w:val="20"/>
        <w:lang w:val="pt-PT"/>
      </w:rPr>
    </w:pPr>
    <w:r w:rsidRPr="001F3106">
      <w:rPr>
        <w:b/>
        <w:i/>
        <w:sz w:val="28"/>
        <w:szCs w:val="28"/>
        <w:lang w:val="pt-PT"/>
      </w:rPr>
      <w:t xml:space="preserve">Anexa </w:t>
    </w:r>
    <w:r w:rsidR="00F02208" w:rsidRPr="001F3106">
      <w:rPr>
        <w:b/>
        <w:i/>
        <w:sz w:val="28"/>
        <w:szCs w:val="28"/>
        <w:lang w:val="pt-PT"/>
      </w:rPr>
      <w:t>I.</w:t>
    </w:r>
    <w:r w:rsidRPr="001F3106">
      <w:rPr>
        <w:b/>
        <w:i/>
        <w:sz w:val="28"/>
        <w:szCs w:val="28"/>
        <w:lang w:val="pt-PT"/>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1F62"/>
    <w:multiLevelType w:val="hybridMultilevel"/>
    <w:tmpl w:val="639CBAB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0406C41"/>
    <w:multiLevelType w:val="hybridMultilevel"/>
    <w:tmpl w:val="A0F2FC84"/>
    <w:lvl w:ilvl="0" w:tplc="0B2AC24A">
      <w:start w:val="1"/>
      <w:numFmt w:val="bullet"/>
      <w:lvlText w:val="•"/>
      <w:lvlJc w:val="left"/>
      <w:pPr>
        <w:tabs>
          <w:tab w:val="num" w:pos="720"/>
        </w:tabs>
        <w:ind w:left="720" w:hanging="360"/>
      </w:pPr>
      <w:rPr>
        <w:rFonts w:ascii="Times New Roman" w:hAnsi="Times New Roman" w:hint="default"/>
      </w:rPr>
    </w:lvl>
    <w:lvl w:ilvl="1" w:tplc="36BC20F6" w:tentative="1">
      <w:start w:val="1"/>
      <w:numFmt w:val="bullet"/>
      <w:lvlText w:val="•"/>
      <w:lvlJc w:val="left"/>
      <w:pPr>
        <w:tabs>
          <w:tab w:val="num" w:pos="1440"/>
        </w:tabs>
        <w:ind w:left="1440" w:hanging="360"/>
      </w:pPr>
      <w:rPr>
        <w:rFonts w:ascii="Times New Roman" w:hAnsi="Times New Roman" w:hint="default"/>
      </w:rPr>
    </w:lvl>
    <w:lvl w:ilvl="2" w:tplc="F612D9A0" w:tentative="1">
      <w:start w:val="1"/>
      <w:numFmt w:val="bullet"/>
      <w:lvlText w:val="•"/>
      <w:lvlJc w:val="left"/>
      <w:pPr>
        <w:tabs>
          <w:tab w:val="num" w:pos="2160"/>
        </w:tabs>
        <w:ind w:left="2160" w:hanging="360"/>
      </w:pPr>
      <w:rPr>
        <w:rFonts w:ascii="Times New Roman" w:hAnsi="Times New Roman" w:hint="default"/>
      </w:rPr>
    </w:lvl>
    <w:lvl w:ilvl="3" w:tplc="7DC426A2" w:tentative="1">
      <w:start w:val="1"/>
      <w:numFmt w:val="bullet"/>
      <w:lvlText w:val="•"/>
      <w:lvlJc w:val="left"/>
      <w:pPr>
        <w:tabs>
          <w:tab w:val="num" w:pos="2880"/>
        </w:tabs>
        <w:ind w:left="2880" w:hanging="360"/>
      </w:pPr>
      <w:rPr>
        <w:rFonts w:ascii="Times New Roman" w:hAnsi="Times New Roman" w:hint="default"/>
      </w:rPr>
    </w:lvl>
    <w:lvl w:ilvl="4" w:tplc="63D2EF76" w:tentative="1">
      <w:start w:val="1"/>
      <w:numFmt w:val="bullet"/>
      <w:lvlText w:val="•"/>
      <w:lvlJc w:val="left"/>
      <w:pPr>
        <w:tabs>
          <w:tab w:val="num" w:pos="3600"/>
        </w:tabs>
        <w:ind w:left="3600" w:hanging="360"/>
      </w:pPr>
      <w:rPr>
        <w:rFonts w:ascii="Times New Roman" w:hAnsi="Times New Roman" w:hint="default"/>
      </w:rPr>
    </w:lvl>
    <w:lvl w:ilvl="5" w:tplc="1636784E" w:tentative="1">
      <w:start w:val="1"/>
      <w:numFmt w:val="bullet"/>
      <w:lvlText w:val="•"/>
      <w:lvlJc w:val="left"/>
      <w:pPr>
        <w:tabs>
          <w:tab w:val="num" w:pos="4320"/>
        </w:tabs>
        <w:ind w:left="4320" w:hanging="360"/>
      </w:pPr>
      <w:rPr>
        <w:rFonts w:ascii="Times New Roman" w:hAnsi="Times New Roman" w:hint="default"/>
      </w:rPr>
    </w:lvl>
    <w:lvl w:ilvl="6" w:tplc="BC10326C" w:tentative="1">
      <w:start w:val="1"/>
      <w:numFmt w:val="bullet"/>
      <w:lvlText w:val="•"/>
      <w:lvlJc w:val="left"/>
      <w:pPr>
        <w:tabs>
          <w:tab w:val="num" w:pos="5040"/>
        </w:tabs>
        <w:ind w:left="5040" w:hanging="360"/>
      </w:pPr>
      <w:rPr>
        <w:rFonts w:ascii="Times New Roman" w:hAnsi="Times New Roman" w:hint="default"/>
      </w:rPr>
    </w:lvl>
    <w:lvl w:ilvl="7" w:tplc="D5325FFC" w:tentative="1">
      <w:start w:val="1"/>
      <w:numFmt w:val="bullet"/>
      <w:lvlText w:val="•"/>
      <w:lvlJc w:val="left"/>
      <w:pPr>
        <w:tabs>
          <w:tab w:val="num" w:pos="5760"/>
        </w:tabs>
        <w:ind w:left="5760" w:hanging="360"/>
      </w:pPr>
      <w:rPr>
        <w:rFonts w:ascii="Times New Roman" w:hAnsi="Times New Roman" w:hint="default"/>
      </w:rPr>
    </w:lvl>
    <w:lvl w:ilvl="8" w:tplc="9FB2EB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7F7407"/>
    <w:multiLevelType w:val="hybridMultilevel"/>
    <w:tmpl w:val="F250AC58"/>
    <w:lvl w:ilvl="0" w:tplc="4C28F01E">
      <w:start w:val="1"/>
      <w:numFmt w:val="bullet"/>
      <w:lvlText w:val="•"/>
      <w:lvlJc w:val="left"/>
      <w:pPr>
        <w:tabs>
          <w:tab w:val="num" w:pos="720"/>
        </w:tabs>
        <w:ind w:left="720" w:hanging="360"/>
      </w:pPr>
      <w:rPr>
        <w:rFonts w:ascii="Times New Roman" w:hAnsi="Times New Roman" w:hint="default"/>
      </w:rPr>
    </w:lvl>
    <w:lvl w:ilvl="1" w:tplc="60D41024" w:tentative="1">
      <w:start w:val="1"/>
      <w:numFmt w:val="bullet"/>
      <w:lvlText w:val="•"/>
      <w:lvlJc w:val="left"/>
      <w:pPr>
        <w:tabs>
          <w:tab w:val="num" w:pos="1440"/>
        </w:tabs>
        <w:ind w:left="1440" w:hanging="360"/>
      </w:pPr>
      <w:rPr>
        <w:rFonts w:ascii="Times New Roman" w:hAnsi="Times New Roman" w:hint="default"/>
      </w:rPr>
    </w:lvl>
    <w:lvl w:ilvl="2" w:tplc="7644A73E" w:tentative="1">
      <w:start w:val="1"/>
      <w:numFmt w:val="bullet"/>
      <w:lvlText w:val="•"/>
      <w:lvlJc w:val="left"/>
      <w:pPr>
        <w:tabs>
          <w:tab w:val="num" w:pos="2160"/>
        </w:tabs>
        <w:ind w:left="2160" w:hanging="360"/>
      </w:pPr>
      <w:rPr>
        <w:rFonts w:ascii="Times New Roman" w:hAnsi="Times New Roman" w:hint="default"/>
      </w:rPr>
    </w:lvl>
    <w:lvl w:ilvl="3" w:tplc="7EF04F2A" w:tentative="1">
      <w:start w:val="1"/>
      <w:numFmt w:val="bullet"/>
      <w:lvlText w:val="•"/>
      <w:lvlJc w:val="left"/>
      <w:pPr>
        <w:tabs>
          <w:tab w:val="num" w:pos="2880"/>
        </w:tabs>
        <w:ind w:left="2880" w:hanging="360"/>
      </w:pPr>
      <w:rPr>
        <w:rFonts w:ascii="Times New Roman" w:hAnsi="Times New Roman" w:hint="default"/>
      </w:rPr>
    </w:lvl>
    <w:lvl w:ilvl="4" w:tplc="8D1E20BA" w:tentative="1">
      <w:start w:val="1"/>
      <w:numFmt w:val="bullet"/>
      <w:lvlText w:val="•"/>
      <w:lvlJc w:val="left"/>
      <w:pPr>
        <w:tabs>
          <w:tab w:val="num" w:pos="3600"/>
        </w:tabs>
        <w:ind w:left="3600" w:hanging="360"/>
      </w:pPr>
      <w:rPr>
        <w:rFonts w:ascii="Times New Roman" w:hAnsi="Times New Roman" w:hint="default"/>
      </w:rPr>
    </w:lvl>
    <w:lvl w:ilvl="5" w:tplc="F41A4B3A" w:tentative="1">
      <w:start w:val="1"/>
      <w:numFmt w:val="bullet"/>
      <w:lvlText w:val="•"/>
      <w:lvlJc w:val="left"/>
      <w:pPr>
        <w:tabs>
          <w:tab w:val="num" w:pos="4320"/>
        </w:tabs>
        <w:ind w:left="4320" w:hanging="360"/>
      </w:pPr>
      <w:rPr>
        <w:rFonts w:ascii="Times New Roman" w:hAnsi="Times New Roman" w:hint="default"/>
      </w:rPr>
    </w:lvl>
    <w:lvl w:ilvl="6" w:tplc="7FB48E3C" w:tentative="1">
      <w:start w:val="1"/>
      <w:numFmt w:val="bullet"/>
      <w:lvlText w:val="•"/>
      <w:lvlJc w:val="left"/>
      <w:pPr>
        <w:tabs>
          <w:tab w:val="num" w:pos="5040"/>
        </w:tabs>
        <w:ind w:left="5040" w:hanging="360"/>
      </w:pPr>
      <w:rPr>
        <w:rFonts w:ascii="Times New Roman" w:hAnsi="Times New Roman" w:hint="default"/>
      </w:rPr>
    </w:lvl>
    <w:lvl w:ilvl="7" w:tplc="1F402DA0" w:tentative="1">
      <w:start w:val="1"/>
      <w:numFmt w:val="bullet"/>
      <w:lvlText w:val="•"/>
      <w:lvlJc w:val="left"/>
      <w:pPr>
        <w:tabs>
          <w:tab w:val="num" w:pos="5760"/>
        </w:tabs>
        <w:ind w:left="5760" w:hanging="360"/>
      </w:pPr>
      <w:rPr>
        <w:rFonts w:ascii="Times New Roman" w:hAnsi="Times New Roman" w:hint="default"/>
      </w:rPr>
    </w:lvl>
    <w:lvl w:ilvl="8" w:tplc="D284D0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1F31B8"/>
    <w:multiLevelType w:val="hybridMultilevel"/>
    <w:tmpl w:val="7C0A1C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CE82E884">
      <w:start w:val="2"/>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D5F2C"/>
    <w:multiLevelType w:val="hybridMultilevel"/>
    <w:tmpl w:val="ECAE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82"/>
    <w:rsid w:val="00007714"/>
    <w:rsid w:val="00047CDB"/>
    <w:rsid w:val="00086E9D"/>
    <w:rsid w:val="000A1282"/>
    <w:rsid w:val="000A4AA5"/>
    <w:rsid w:val="000C1ECB"/>
    <w:rsid w:val="000D2D7D"/>
    <w:rsid w:val="000D4182"/>
    <w:rsid w:val="000D5D9E"/>
    <w:rsid w:val="000F3E77"/>
    <w:rsid w:val="001505B9"/>
    <w:rsid w:val="00173860"/>
    <w:rsid w:val="001D0D6D"/>
    <w:rsid w:val="001D7E3C"/>
    <w:rsid w:val="001E2AD0"/>
    <w:rsid w:val="001F016C"/>
    <w:rsid w:val="001F3106"/>
    <w:rsid w:val="0020243C"/>
    <w:rsid w:val="00241321"/>
    <w:rsid w:val="00282A99"/>
    <w:rsid w:val="00290240"/>
    <w:rsid w:val="002C51C2"/>
    <w:rsid w:val="002D2D3A"/>
    <w:rsid w:val="002F589F"/>
    <w:rsid w:val="00347CEB"/>
    <w:rsid w:val="00351648"/>
    <w:rsid w:val="00361DCD"/>
    <w:rsid w:val="003852F5"/>
    <w:rsid w:val="0038674B"/>
    <w:rsid w:val="003973D6"/>
    <w:rsid w:val="003A6513"/>
    <w:rsid w:val="003B71B8"/>
    <w:rsid w:val="00405E93"/>
    <w:rsid w:val="00430187"/>
    <w:rsid w:val="004541B4"/>
    <w:rsid w:val="00490487"/>
    <w:rsid w:val="004947E6"/>
    <w:rsid w:val="004B1201"/>
    <w:rsid w:val="004E0301"/>
    <w:rsid w:val="005123C1"/>
    <w:rsid w:val="0053228E"/>
    <w:rsid w:val="00542417"/>
    <w:rsid w:val="00547349"/>
    <w:rsid w:val="00560D37"/>
    <w:rsid w:val="005B3F2E"/>
    <w:rsid w:val="005B504A"/>
    <w:rsid w:val="005C20CF"/>
    <w:rsid w:val="00602C88"/>
    <w:rsid w:val="006222B5"/>
    <w:rsid w:val="00623ED4"/>
    <w:rsid w:val="0064603E"/>
    <w:rsid w:val="00661FBA"/>
    <w:rsid w:val="00672ADF"/>
    <w:rsid w:val="00675976"/>
    <w:rsid w:val="006875B8"/>
    <w:rsid w:val="006B0FBE"/>
    <w:rsid w:val="006B7A1B"/>
    <w:rsid w:val="00700BE6"/>
    <w:rsid w:val="00721E20"/>
    <w:rsid w:val="007230D8"/>
    <w:rsid w:val="007254C2"/>
    <w:rsid w:val="00750F5C"/>
    <w:rsid w:val="0077561D"/>
    <w:rsid w:val="00795DAB"/>
    <w:rsid w:val="007A32F6"/>
    <w:rsid w:val="007C2A34"/>
    <w:rsid w:val="007D2CA3"/>
    <w:rsid w:val="007D5D00"/>
    <w:rsid w:val="007E3C6E"/>
    <w:rsid w:val="007F4D4D"/>
    <w:rsid w:val="00832E28"/>
    <w:rsid w:val="008C1E27"/>
    <w:rsid w:val="008C7BCE"/>
    <w:rsid w:val="009014AF"/>
    <w:rsid w:val="0093629F"/>
    <w:rsid w:val="00942CB4"/>
    <w:rsid w:val="009526AD"/>
    <w:rsid w:val="00956AED"/>
    <w:rsid w:val="009B2B3E"/>
    <w:rsid w:val="009D2D6F"/>
    <w:rsid w:val="009D5CA7"/>
    <w:rsid w:val="009D7A81"/>
    <w:rsid w:val="009E3DC6"/>
    <w:rsid w:val="00A56B7B"/>
    <w:rsid w:val="00A675DA"/>
    <w:rsid w:val="00A87962"/>
    <w:rsid w:val="00AA3169"/>
    <w:rsid w:val="00AA6F84"/>
    <w:rsid w:val="00AC7907"/>
    <w:rsid w:val="00B040BD"/>
    <w:rsid w:val="00BA1515"/>
    <w:rsid w:val="00BA6E0E"/>
    <w:rsid w:val="00BB77DF"/>
    <w:rsid w:val="00BD4AB6"/>
    <w:rsid w:val="00C24B62"/>
    <w:rsid w:val="00C3098B"/>
    <w:rsid w:val="00C36682"/>
    <w:rsid w:val="00C42BE6"/>
    <w:rsid w:val="00C8328D"/>
    <w:rsid w:val="00CB0D37"/>
    <w:rsid w:val="00CD6927"/>
    <w:rsid w:val="00D227CF"/>
    <w:rsid w:val="00D44AE0"/>
    <w:rsid w:val="00D50DEF"/>
    <w:rsid w:val="00D565C9"/>
    <w:rsid w:val="00D63997"/>
    <w:rsid w:val="00D8608C"/>
    <w:rsid w:val="00D90E20"/>
    <w:rsid w:val="00DA7152"/>
    <w:rsid w:val="00DD1F3B"/>
    <w:rsid w:val="00DD20D4"/>
    <w:rsid w:val="00DD6C64"/>
    <w:rsid w:val="00DE721E"/>
    <w:rsid w:val="00E07523"/>
    <w:rsid w:val="00EA0AD7"/>
    <w:rsid w:val="00ED467B"/>
    <w:rsid w:val="00ED7636"/>
    <w:rsid w:val="00EE1842"/>
    <w:rsid w:val="00EF09CC"/>
    <w:rsid w:val="00F02208"/>
    <w:rsid w:val="00F567F4"/>
    <w:rsid w:val="00F57713"/>
    <w:rsid w:val="00F8629F"/>
    <w:rsid w:val="00FA07A3"/>
    <w:rsid w:val="00FB2B7D"/>
    <w:rsid w:val="00FB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79AF8"/>
  <w15:chartTrackingRefBased/>
  <w15:docId w15:val="{3DE40D50-BEA4-40E8-A752-0891D7FC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D6C6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82"/>
  </w:style>
  <w:style w:type="paragraph" w:styleId="Footer">
    <w:name w:val="footer"/>
    <w:basedOn w:val="Normal"/>
    <w:link w:val="FooterChar"/>
    <w:uiPriority w:val="99"/>
    <w:unhideWhenUsed/>
    <w:rsid w:val="00C3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82"/>
  </w:style>
  <w:style w:type="paragraph" w:styleId="BalloonText">
    <w:name w:val="Balloon Text"/>
    <w:basedOn w:val="Normal"/>
    <w:link w:val="BalloonTextChar"/>
    <w:uiPriority w:val="99"/>
    <w:semiHidden/>
    <w:unhideWhenUsed/>
    <w:rsid w:val="00C366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682"/>
    <w:rPr>
      <w:rFonts w:ascii="Tahoma" w:hAnsi="Tahoma" w:cs="Tahoma"/>
      <w:sz w:val="16"/>
      <w:szCs w:val="16"/>
    </w:rPr>
  </w:style>
  <w:style w:type="paragraph" w:customStyle="1" w:styleId="ColourfulListAccent11">
    <w:name w:val="Colourful List – Accent 11"/>
    <w:basedOn w:val="Normal"/>
    <w:uiPriority w:val="34"/>
    <w:qFormat/>
    <w:rsid w:val="004B1201"/>
    <w:pPr>
      <w:ind w:left="720"/>
      <w:contextualSpacing/>
    </w:pPr>
    <w:rPr>
      <w:lang w:val="ro-RO"/>
    </w:rPr>
  </w:style>
  <w:style w:type="paragraph" w:customStyle="1" w:styleId="MediumGrid21">
    <w:name w:val="Medium Grid 21"/>
    <w:uiPriority w:val="1"/>
    <w:qFormat/>
    <w:rsid w:val="00282A99"/>
    <w:rPr>
      <w:sz w:val="22"/>
      <w:szCs w:val="22"/>
      <w:lang w:val="en-US" w:eastAsia="en-US"/>
    </w:rPr>
  </w:style>
  <w:style w:type="paragraph" w:styleId="Caption">
    <w:name w:val="caption"/>
    <w:basedOn w:val="Normal"/>
    <w:next w:val="Normal"/>
    <w:uiPriority w:val="35"/>
    <w:qFormat/>
    <w:rsid w:val="00542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200">
      <w:bodyDiv w:val="1"/>
      <w:marLeft w:val="0"/>
      <w:marRight w:val="0"/>
      <w:marTop w:val="0"/>
      <w:marBottom w:val="0"/>
      <w:divBdr>
        <w:top w:val="none" w:sz="0" w:space="0" w:color="auto"/>
        <w:left w:val="none" w:sz="0" w:space="0" w:color="auto"/>
        <w:bottom w:val="none" w:sz="0" w:space="0" w:color="auto"/>
        <w:right w:val="none" w:sz="0" w:space="0" w:color="auto"/>
      </w:divBdr>
      <w:divsChild>
        <w:div w:id="1157725490">
          <w:marLeft w:val="547"/>
          <w:marRight w:val="0"/>
          <w:marTop w:val="0"/>
          <w:marBottom w:val="0"/>
          <w:divBdr>
            <w:top w:val="none" w:sz="0" w:space="0" w:color="auto"/>
            <w:left w:val="none" w:sz="0" w:space="0" w:color="auto"/>
            <w:bottom w:val="none" w:sz="0" w:space="0" w:color="auto"/>
            <w:right w:val="none" w:sz="0" w:space="0" w:color="auto"/>
          </w:divBdr>
        </w:div>
      </w:divsChild>
    </w:div>
    <w:div w:id="84423920">
      <w:bodyDiv w:val="1"/>
      <w:marLeft w:val="0"/>
      <w:marRight w:val="0"/>
      <w:marTop w:val="0"/>
      <w:marBottom w:val="0"/>
      <w:divBdr>
        <w:top w:val="none" w:sz="0" w:space="0" w:color="auto"/>
        <w:left w:val="none" w:sz="0" w:space="0" w:color="auto"/>
        <w:bottom w:val="none" w:sz="0" w:space="0" w:color="auto"/>
        <w:right w:val="none" w:sz="0" w:space="0" w:color="auto"/>
      </w:divBdr>
      <w:divsChild>
        <w:div w:id="2080901648">
          <w:marLeft w:val="547"/>
          <w:marRight w:val="0"/>
          <w:marTop w:val="0"/>
          <w:marBottom w:val="0"/>
          <w:divBdr>
            <w:top w:val="none" w:sz="0" w:space="0" w:color="auto"/>
            <w:left w:val="none" w:sz="0" w:space="0" w:color="auto"/>
            <w:bottom w:val="none" w:sz="0" w:space="0" w:color="auto"/>
            <w:right w:val="none" w:sz="0" w:space="0" w:color="auto"/>
          </w:divBdr>
        </w:div>
      </w:divsChild>
    </w:div>
    <w:div w:id="287054271">
      <w:bodyDiv w:val="1"/>
      <w:marLeft w:val="0"/>
      <w:marRight w:val="0"/>
      <w:marTop w:val="0"/>
      <w:marBottom w:val="0"/>
      <w:divBdr>
        <w:top w:val="none" w:sz="0" w:space="0" w:color="auto"/>
        <w:left w:val="none" w:sz="0" w:space="0" w:color="auto"/>
        <w:bottom w:val="none" w:sz="0" w:space="0" w:color="auto"/>
        <w:right w:val="none" w:sz="0" w:space="0" w:color="auto"/>
      </w:divBdr>
    </w:div>
    <w:div w:id="13933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C6A8-FEA7-4584-9E10-F9269446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User</cp:lastModifiedBy>
  <cp:revision>3</cp:revision>
  <dcterms:created xsi:type="dcterms:W3CDTF">2024-11-24T14:21:00Z</dcterms:created>
  <dcterms:modified xsi:type="dcterms:W3CDTF">2025-02-03T10:55:00Z</dcterms:modified>
</cp:coreProperties>
</file>