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3142A" w14:textId="77777777" w:rsidR="00226DC2" w:rsidRDefault="004B4EF9" w:rsidP="00CB5341">
      <w:pPr>
        <w:spacing w:after="240" w:line="240" w:lineRule="auto"/>
        <w:ind w:left="360"/>
        <w:jc w:val="center"/>
        <w:rPr>
          <w:rFonts w:cs="Calibri"/>
          <w:b/>
          <w:sz w:val="32"/>
          <w:szCs w:val="32"/>
        </w:rPr>
      </w:pPr>
      <w:r w:rsidRPr="009A5E68">
        <w:rPr>
          <w:rFonts w:cs="Calibri"/>
          <w:b/>
          <w:sz w:val="32"/>
          <w:szCs w:val="32"/>
        </w:rPr>
        <w:t>Protocol pentru managementul hemoragiei cerebrale simptomatice asociată trombolizei intravenoase</w:t>
      </w:r>
    </w:p>
    <w:p w14:paraId="14A55F0B" w14:textId="7E2ACDF2" w:rsidR="00A831C1" w:rsidRDefault="00E450C2" w:rsidP="00E450C2">
      <w:pPr>
        <w:spacing w:after="0"/>
        <w:ind w:left="-450"/>
        <w:jc w:val="center"/>
      </w:pPr>
      <w:bookmarkStart w:id="0" w:name="_GoBack"/>
      <w:r>
        <w:rPr>
          <w:noProof/>
          <w:lang w:val="en-US"/>
        </w:rPr>
        <w:drawing>
          <wp:inline distT="0" distB="0" distL="0" distR="0" wp14:anchorId="7340CBAE" wp14:editId="4A991BA5">
            <wp:extent cx="6225540" cy="6245544"/>
            <wp:effectExtent l="0" t="0" r="3810" b="3175"/>
            <wp:docPr id="189880240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304" cy="6269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3F941379" w14:textId="0BCC81D3" w:rsidR="00A831C1" w:rsidRDefault="00A831C1" w:rsidP="008E6FB2">
      <w:pPr>
        <w:spacing w:after="0"/>
        <w:ind w:left="1440"/>
        <w:jc w:val="center"/>
      </w:pPr>
    </w:p>
    <w:tbl>
      <w:tblPr>
        <w:tblW w:w="10091" w:type="dxa"/>
        <w:tblLook w:val="04A0" w:firstRow="1" w:lastRow="0" w:firstColumn="1" w:lastColumn="0" w:noHBand="0" w:noVBand="1"/>
      </w:tblPr>
      <w:tblGrid>
        <w:gridCol w:w="10091"/>
      </w:tblGrid>
      <w:tr w:rsidR="00E450C2" w:rsidRPr="00962526" w14:paraId="689AE213" w14:textId="77777777" w:rsidTr="00042F46">
        <w:trPr>
          <w:trHeight w:val="213"/>
        </w:trPr>
        <w:tc>
          <w:tcPr>
            <w:tcW w:w="10091" w:type="dxa"/>
            <w:shd w:val="clear" w:color="auto" w:fill="auto"/>
          </w:tcPr>
          <w:p w14:paraId="3E917009" w14:textId="5018E412" w:rsidR="00E450C2" w:rsidRPr="00E450C2" w:rsidRDefault="00E450C2" w:rsidP="00F75F6C">
            <w:pPr>
              <w:pStyle w:val="ListParagraph"/>
              <w:ind w:left="0"/>
              <w:rPr>
                <w:sz w:val="20"/>
                <w:szCs w:val="20"/>
              </w:rPr>
            </w:pPr>
            <w:r w:rsidRPr="00E450C2">
              <w:rPr>
                <w:sz w:val="20"/>
                <w:szCs w:val="20"/>
              </w:rPr>
              <w:t>Se va aprecia individual oportunitatea efectuării unei intervenții neurochirurgicale (echipă multidisciplinară neurologie, neurochirurgie, ATI, hematologie). Candidați pentru o intervenție neurochirurgicală sunt pacienții cu:</w:t>
            </w:r>
          </w:p>
          <w:p w14:paraId="6C83D9E4" w14:textId="77777777" w:rsidR="00E450C2" w:rsidRPr="00E450C2" w:rsidRDefault="00E450C2" w:rsidP="00F75F6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450C2">
              <w:rPr>
                <w:sz w:val="20"/>
                <w:szCs w:val="20"/>
              </w:rPr>
              <w:t>Hematoame cerebeloase (cu efect de compresie asupra trunchiului cerebral)</w:t>
            </w:r>
          </w:p>
          <w:p w14:paraId="194AEAC1" w14:textId="77777777" w:rsidR="00E450C2" w:rsidRPr="00E450C2" w:rsidRDefault="00E450C2" w:rsidP="00F75F6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450C2">
              <w:rPr>
                <w:sz w:val="20"/>
                <w:szCs w:val="20"/>
              </w:rPr>
              <w:t>Pacienții cu hematoame lobare cu volum &gt; 30ml</w:t>
            </w:r>
          </w:p>
          <w:p w14:paraId="6A1CA961" w14:textId="77777777" w:rsidR="00E450C2" w:rsidRPr="006D602D" w:rsidRDefault="00E450C2" w:rsidP="00F75F6C">
            <w:pPr>
              <w:pStyle w:val="ListParagraph"/>
              <w:spacing w:after="0"/>
              <w:ind w:left="0"/>
              <w:jc w:val="both"/>
            </w:pPr>
            <w:r w:rsidRPr="00E450C2">
              <w:rPr>
                <w:sz w:val="20"/>
                <w:szCs w:val="20"/>
              </w:rPr>
              <w:t>Tehnica neurochirurgicală folosită (craniectomie decompresivă/ evacuare a hematomului) va fi decisă de echipa neurochirurgicală în funcție de caracteristicile individuale ale pacientului</w:t>
            </w:r>
          </w:p>
        </w:tc>
      </w:tr>
    </w:tbl>
    <w:p w14:paraId="2472DD69" w14:textId="77777777" w:rsidR="00E450C2" w:rsidRDefault="00E450C2" w:rsidP="008E6FB2">
      <w:pPr>
        <w:spacing w:after="0"/>
        <w:ind w:left="1440"/>
        <w:jc w:val="center"/>
      </w:pPr>
    </w:p>
    <w:p w14:paraId="1FCA9BA7" w14:textId="77777777" w:rsidR="003D1DC6" w:rsidRPr="00A77AAA" w:rsidRDefault="00E33F0A" w:rsidP="003D1DC6">
      <w:pPr>
        <w:jc w:val="center"/>
        <w:rPr>
          <w:b/>
          <w:sz w:val="32"/>
          <w:szCs w:val="32"/>
        </w:rPr>
      </w:pPr>
      <w:r w:rsidRPr="00A77AAA">
        <w:rPr>
          <w:b/>
          <w:sz w:val="32"/>
          <w:szCs w:val="32"/>
        </w:rPr>
        <w:t>Clasificarea hemoragiilor intracraniene asociate trombolizei intravenoase</w:t>
      </w:r>
    </w:p>
    <w:tbl>
      <w:tblPr>
        <w:tblpPr w:leftFromText="180" w:rightFromText="180" w:vertAnchor="text" w:horzAnchor="margin" w:tblpY="9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E4"/>
        <w:tblLook w:val="04A0" w:firstRow="1" w:lastRow="0" w:firstColumn="1" w:lastColumn="0" w:noHBand="0" w:noVBand="1"/>
      </w:tblPr>
      <w:tblGrid>
        <w:gridCol w:w="9781"/>
      </w:tblGrid>
      <w:tr w:rsidR="00CF4B42" w:rsidRPr="00A77AAA" w14:paraId="21177272" w14:textId="77777777" w:rsidTr="00004B66">
        <w:tc>
          <w:tcPr>
            <w:tcW w:w="9781" w:type="dxa"/>
            <w:shd w:val="clear" w:color="auto" w:fill="FFFFE4"/>
          </w:tcPr>
          <w:p w14:paraId="25149150" w14:textId="77777777" w:rsidR="00CF4B42" w:rsidRPr="00A77AAA" w:rsidRDefault="00CF4B42" w:rsidP="00042F46">
            <w:pPr>
              <w:spacing w:after="120" w:line="240" w:lineRule="auto"/>
              <w:jc w:val="both"/>
              <w:rPr>
                <w:rFonts w:cs="Calibri"/>
              </w:rPr>
            </w:pPr>
            <w:r w:rsidRPr="00A77AAA">
              <w:rPr>
                <w:rFonts w:cs="Calibri"/>
                <w:b/>
              </w:rPr>
              <w:t>Infarct hemoragic tip 1 (IH1)</w:t>
            </w:r>
            <w:r w:rsidRPr="00A77AAA">
              <w:rPr>
                <w:rFonts w:cs="Calibri"/>
              </w:rPr>
              <w:t xml:space="preserve"> - aspect imagistic de mici peteșii de-a lungul marginilor infarctului.</w:t>
            </w:r>
          </w:p>
        </w:tc>
      </w:tr>
      <w:tr w:rsidR="00CF4B42" w:rsidRPr="00A77AAA" w14:paraId="3BEF47B9" w14:textId="77777777" w:rsidTr="00004B66">
        <w:tc>
          <w:tcPr>
            <w:tcW w:w="9781" w:type="dxa"/>
            <w:shd w:val="clear" w:color="auto" w:fill="FFFFE4"/>
          </w:tcPr>
          <w:p w14:paraId="1B8E44BA" w14:textId="77777777" w:rsidR="00CF4B42" w:rsidRPr="00A77AAA" w:rsidRDefault="00CF4B42" w:rsidP="00042F46">
            <w:pPr>
              <w:spacing w:after="120" w:line="240" w:lineRule="auto"/>
              <w:jc w:val="both"/>
              <w:rPr>
                <w:rFonts w:cs="Calibri"/>
              </w:rPr>
            </w:pPr>
            <w:r w:rsidRPr="00A77AAA">
              <w:rPr>
                <w:rFonts w:cs="Calibri"/>
                <w:b/>
              </w:rPr>
              <w:t>Infarct hemoragic tip 2 (IH2)</w:t>
            </w:r>
            <w:r w:rsidRPr="00A77AAA">
              <w:rPr>
                <w:rFonts w:cs="Calibri"/>
              </w:rPr>
              <w:t xml:space="preserve"> -  aspect imagistic de peteșii confluente în interiorul zonei de infarct, fără efect de masă.</w:t>
            </w:r>
          </w:p>
        </w:tc>
      </w:tr>
      <w:tr w:rsidR="00CF4B42" w:rsidRPr="00A77AAA" w14:paraId="2A94EA50" w14:textId="77777777" w:rsidTr="00004B66">
        <w:tc>
          <w:tcPr>
            <w:tcW w:w="9781" w:type="dxa"/>
            <w:shd w:val="clear" w:color="auto" w:fill="FFFFE4"/>
          </w:tcPr>
          <w:p w14:paraId="659F47DE" w14:textId="77777777" w:rsidR="00CF4B42" w:rsidRPr="00A77AAA" w:rsidRDefault="00CF4B42" w:rsidP="00042F46">
            <w:pPr>
              <w:spacing w:after="120" w:line="240" w:lineRule="auto"/>
              <w:jc w:val="both"/>
              <w:rPr>
                <w:rFonts w:cs="Calibri"/>
              </w:rPr>
            </w:pPr>
            <w:r w:rsidRPr="00A77AAA">
              <w:rPr>
                <w:rFonts w:cs="Calibri"/>
                <w:b/>
              </w:rPr>
              <w:t>Hematom intraparenchimatos tip 1 (HP1)</w:t>
            </w:r>
            <w:r w:rsidRPr="00A77AAA">
              <w:rPr>
                <w:rFonts w:cs="Calibri"/>
              </w:rPr>
              <w:t xml:space="preserve"> - hematom ce ocupă ≤ 30% din aria de infarct, cu un ușor efect de masă.</w:t>
            </w:r>
          </w:p>
        </w:tc>
      </w:tr>
      <w:tr w:rsidR="00CF4B42" w:rsidRPr="00A77AAA" w14:paraId="176AB5D2" w14:textId="77777777" w:rsidTr="00004B66">
        <w:tc>
          <w:tcPr>
            <w:tcW w:w="9781" w:type="dxa"/>
            <w:shd w:val="clear" w:color="auto" w:fill="FFFFE4"/>
          </w:tcPr>
          <w:p w14:paraId="2DEDD0A9" w14:textId="77777777" w:rsidR="00CF4B42" w:rsidRPr="00A77AAA" w:rsidRDefault="00CF4B42" w:rsidP="00042F46">
            <w:pPr>
              <w:spacing w:after="120" w:line="240" w:lineRule="auto"/>
              <w:jc w:val="both"/>
              <w:rPr>
                <w:rFonts w:cs="Calibri"/>
              </w:rPr>
            </w:pPr>
            <w:r w:rsidRPr="00A77AAA">
              <w:rPr>
                <w:rFonts w:cs="Calibri"/>
                <w:b/>
              </w:rPr>
              <w:t>Hematom intraparenchimatos tip 2 (HP2)</w:t>
            </w:r>
            <w:r w:rsidRPr="00A77AAA">
              <w:rPr>
                <w:rFonts w:cs="Calibri"/>
              </w:rPr>
              <w:t xml:space="preserve"> - hematom dens ce ocupă &gt; 30% din zona de infarct și are un important efect de masă sau orice altă leziune hemoragică intracraniană la distanță de zona de infarct.</w:t>
            </w:r>
          </w:p>
        </w:tc>
      </w:tr>
    </w:tbl>
    <w:p w14:paraId="3AC20E50" w14:textId="77777777" w:rsidR="00321342" w:rsidRPr="003D1DC6" w:rsidRDefault="00321342" w:rsidP="003D1DC6">
      <w:pPr>
        <w:jc w:val="center"/>
        <w:rPr>
          <w:b/>
        </w:rPr>
      </w:pPr>
    </w:p>
    <w:p w14:paraId="04462375" w14:textId="77777777" w:rsidR="007F5771" w:rsidRPr="00A77AAA" w:rsidRDefault="007F5771" w:rsidP="007B23FF">
      <w:pPr>
        <w:ind w:right="-421"/>
        <w:jc w:val="both"/>
        <w:rPr>
          <w:rFonts w:cs="Calibri"/>
        </w:rPr>
      </w:pPr>
      <w:r w:rsidRPr="00A77AAA">
        <w:rPr>
          <w:rFonts w:cs="Calibri"/>
          <w:b/>
        </w:rPr>
        <w:t>O hemoragie intracraniană</w:t>
      </w:r>
      <w:r w:rsidRPr="00A77AAA">
        <w:rPr>
          <w:rFonts w:cs="Calibri"/>
        </w:rPr>
        <w:t xml:space="preserve"> </w:t>
      </w:r>
      <w:r w:rsidRPr="00A77AAA">
        <w:rPr>
          <w:rFonts w:cs="Calibri"/>
          <w:b/>
        </w:rPr>
        <w:t xml:space="preserve">poate fi considerată </w:t>
      </w:r>
      <w:r w:rsidRPr="00CF4B42">
        <w:rPr>
          <w:rFonts w:cs="Calibri"/>
          <w:b/>
          <w:u w:val="single"/>
        </w:rPr>
        <w:t xml:space="preserve">asociată </w:t>
      </w:r>
      <w:r w:rsidR="001553B8" w:rsidRPr="00CF4B42">
        <w:rPr>
          <w:rFonts w:cs="Calibri"/>
          <w:b/>
          <w:u w:val="single"/>
        </w:rPr>
        <w:t>trombolizei intravenoase</w:t>
      </w:r>
      <w:r w:rsidRPr="00A77AAA">
        <w:rPr>
          <w:rFonts w:cs="Calibri"/>
        </w:rPr>
        <w:t xml:space="preserve"> dacă este decelată la un examen CT</w:t>
      </w:r>
      <w:r w:rsidR="001553B8" w:rsidRPr="00A77AAA">
        <w:rPr>
          <w:rFonts w:cs="Calibri"/>
        </w:rPr>
        <w:t xml:space="preserve"> sau IRM</w:t>
      </w:r>
      <w:r w:rsidRPr="00A77AAA">
        <w:rPr>
          <w:rFonts w:cs="Calibri"/>
        </w:rPr>
        <w:t xml:space="preserve"> cerebral de control efectuat în primele 36 de ore de la administrarea Actilyse.</w:t>
      </w:r>
    </w:p>
    <w:p w14:paraId="11CAE798" w14:textId="77777777" w:rsidR="00265838" w:rsidRPr="00A77AAA" w:rsidRDefault="00265838" w:rsidP="00265838">
      <w:pPr>
        <w:spacing w:after="0"/>
        <w:ind w:right="-421"/>
        <w:jc w:val="both"/>
        <w:rPr>
          <w:rFonts w:cs="Calibri"/>
        </w:rPr>
      </w:pPr>
      <w:r w:rsidRPr="00A77AAA">
        <w:rPr>
          <w:rFonts w:cs="Calibri"/>
          <w:b/>
        </w:rPr>
        <w:t>O h</w:t>
      </w:r>
      <w:r w:rsidR="007F5771" w:rsidRPr="00A77AAA">
        <w:rPr>
          <w:rFonts w:cs="Calibri"/>
          <w:b/>
        </w:rPr>
        <w:t>emoragi</w:t>
      </w:r>
      <w:r w:rsidRPr="00A77AAA">
        <w:rPr>
          <w:rFonts w:cs="Calibri"/>
          <w:b/>
        </w:rPr>
        <w:t>e</w:t>
      </w:r>
      <w:r w:rsidR="007F5771" w:rsidRPr="00A77AAA">
        <w:rPr>
          <w:rFonts w:cs="Calibri"/>
          <w:b/>
        </w:rPr>
        <w:t xml:space="preserve"> intracraniană </w:t>
      </w:r>
      <w:r w:rsidR="001553B8" w:rsidRPr="00A77AAA">
        <w:rPr>
          <w:rFonts w:cs="Calibri"/>
          <w:b/>
        </w:rPr>
        <w:t>asociată trombolizei intravenoase</w:t>
      </w:r>
      <w:r w:rsidR="001553B8" w:rsidRPr="00A77AAA">
        <w:rPr>
          <w:rFonts w:cs="Calibri"/>
        </w:rPr>
        <w:t xml:space="preserve"> </w:t>
      </w:r>
      <w:r w:rsidRPr="00A77AAA">
        <w:rPr>
          <w:rFonts w:cs="Calibri"/>
          <w:b/>
        </w:rPr>
        <w:t xml:space="preserve">este </w:t>
      </w:r>
      <w:r w:rsidRPr="00CF4B42">
        <w:rPr>
          <w:rFonts w:cs="Calibri"/>
          <w:b/>
        </w:rPr>
        <w:t>considerată</w:t>
      </w:r>
      <w:r w:rsidRPr="00CF4B42">
        <w:rPr>
          <w:rFonts w:cs="Calibri"/>
        </w:rPr>
        <w:t xml:space="preserve"> </w:t>
      </w:r>
      <w:r w:rsidRPr="00CF4B42">
        <w:rPr>
          <w:rFonts w:cs="Calibri"/>
          <w:b/>
          <w:u w:val="single"/>
        </w:rPr>
        <w:t>simptomatică</w:t>
      </w:r>
      <w:r w:rsidRPr="00A77AAA">
        <w:rPr>
          <w:rFonts w:cs="Calibri"/>
        </w:rPr>
        <w:t xml:space="preserve"> numai dacă îndeplinește următoarele trei criterii (conform ECASS III): </w:t>
      </w:r>
    </w:p>
    <w:p w14:paraId="30236C84" w14:textId="77777777" w:rsidR="003D1DC6" w:rsidRPr="00A77AAA" w:rsidRDefault="00265838" w:rsidP="00265838">
      <w:pPr>
        <w:pStyle w:val="ListParagraph"/>
        <w:numPr>
          <w:ilvl w:val="0"/>
          <w:numId w:val="8"/>
        </w:numPr>
        <w:ind w:right="-421"/>
        <w:jc w:val="both"/>
        <w:rPr>
          <w:rFonts w:cs="Calibri"/>
        </w:rPr>
      </w:pPr>
      <w:r w:rsidRPr="00A77AAA">
        <w:rPr>
          <w:rFonts w:cs="Calibri"/>
          <w:szCs w:val="24"/>
        </w:rPr>
        <w:t>hemoragie intracraniană documentată imagistic prin examen CT sau IRM efectuat în primele 36 de ore de la administrarea Actilyse;</w:t>
      </w:r>
    </w:p>
    <w:p w14:paraId="5A06C391" w14:textId="77777777" w:rsidR="00265838" w:rsidRPr="00A77AAA" w:rsidRDefault="00265838" w:rsidP="00265838">
      <w:pPr>
        <w:pStyle w:val="ListParagraph"/>
        <w:numPr>
          <w:ilvl w:val="0"/>
          <w:numId w:val="8"/>
        </w:numPr>
        <w:ind w:right="-421"/>
        <w:jc w:val="both"/>
        <w:rPr>
          <w:rFonts w:cs="Calibri"/>
        </w:rPr>
      </w:pPr>
      <w:r w:rsidRPr="00A77AAA">
        <w:rPr>
          <w:rFonts w:cs="Calibri"/>
          <w:szCs w:val="24"/>
        </w:rPr>
        <w:t>hemoragia este asociată cu o deteriorare clinică definită printr-o creștere cu ≥ 4 puncte a scorului NIHSS sau duce la deces;</w:t>
      </w:r>
    </w:p>
    <w:p w14:paraId="508973AE" w14:textId="77777777" w:rsidR="00265838" w:rsidRPr="00A77AAA" w:rsidRDefault="00265838" w:rsidP="001E113F">
      <w:pPr>
        <w:pStyle w:val="ListParagraph"/>
        <w:numPr>
          <w:ilvl w:val="0"/>
          <w:numId w:val="8"/>
        </w:numPr>
        <w:ind w:right="-421"/>
        <w:jc w:val="both"/>
        <w:rPr>
          <w:rFonts w:cs="Calibri"/>
        </w:rPr>
      </w:pPr>
      <w:r w:rsidRPr="00A77AAA">
        <w:rPr>
          <w:rFonts w:cs="Calibri"/>
          <w:szCs w:val="24"/>
        </w:rPr>
        <w:t>hemoragia este considerată de medicul neurolog ca fiind cauza predominantă a deteriorării neurologice.</w:t>
      </w:r>
    </w:p>
    <w:sectPr w:rsidR="00265838" w:rsidRPr="00A77AAA" w:rsidSect="00CB5341">
      <w:headerReference w:type="default" r:id="rId8"/>
      <w:footerReference w:type="default" r:id="rId9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3D833" w14:textId="77777777" w:rsidR="00E352AE" w:rsidRDefault="00E352AE" w:rsidP="00226DC2">
      <w:pPr>
        <w:spacing w:after="0" w:line="240" w:lineRule="auto"/>
      </w:pPr>
      <w:r>
        <w:separator/>
      </w:r>
    </w:p>
  </w:endnote>
  <w:endnote w:type="continuationSeparator" w:id="0">
    <w:p w14:paraId="5433F3EA" w14:textId="77777777" w:rsidR="00E352AE" w:rsidRDefault="00E352AE" w:rsidP="00226DC2">
      <w:pPr>
        <w:spacing w:after="0" w:line="240" w:lineRule="auto"/>
      </w:pPr>
      <w:r>
        <w:continuationSeparator/>
      </w:r>
    </w:p>
  </w:endnote>
  <w:endnote w:type="continuationNotice" w:id="1">
    <w:p w14:paraId="60845555" w14:textId="77777777" w:rsidR="00E352AE" w:rsidRDefault="00E352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B01229" w14:paraId="72720C1B" w14:textId="77777777" w:rsidTr="6DB01229">
      <w:trPr>
        <w:trHeight w:val="300"/>
      </w:trPr>
      <w:tc>
        <w:tcPr>
          <w:tcW w:w="3120" w:type="dxa"/>
        </w:tcPr>
        <w:p w14:paraId="7DC04674" w14:textId="57E516B0" w:rsidR="6DB01229" w:rsidRDefault="6DB01229" w:rsidP="6DB01229">
          <w:pPr>
            <w:pStyle w:val="Header"/>
            <w:ind w:left="-115"/>
          </w:pPr>
        </w:p>
      </w:tc>
      <w:tc>
        <w:tcPr>
          <w:tcW w:w="3120" w:type="dxa"/>
        </w:tcPr>
        <w:p w14:paraId="57E458FD" w14:textId="0525AC5A" w:rsidR="6DB01229" w:rsidRDefault="6DB01229" w:rsidP="6DB01229">
          <w:pPr>
            <w:pStyle w:val="Header"/>
            <w:jc w:val="center"/>
          </w:pPr>
        </w:p>
      </w:tc>
      <w:tc>
        <w:tcPr>
          <w:tcW w:w="3120" w:type="dxa"/>
        </w:tcPr>
        <w:p w14:paraId="6498D9C3" w14:textId="004B33CA" w:rsidR="6DB01229" w:rsidRDefault="6DB01229" w:rsidP="6DB01229">
          <w:pPr>
            <w:pStyle w:val="Header"/>
            <w:ind w:right="-115"/>
            <w:jc w:val="right"/>
          </w:pPr>
        </w:p>
      </w:tc>
    </w:tr>
  </w:tbl>
  <w:p w14:paraId="0E5DE050" w14:textId="2A316505" w:rsidR="00832CBA" w:rsidRDefault="00832C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B19DC" w14:textId="77777777" w:rsidR="00E352AE" w:rsidRDefault="00E352AE" w:rsidP="00226DC2">
      <w:pPr>
        <w:spacing w:after="0" w:line="240" w:lineRule="auto"/>
      </w:pPr>
      <w:r>
        <w:separator/>
      </w:r>
    </w:p>
  </w:footnote>
  <w:footnote w:type="continuationSeparator" w:id="0">
    <w:p w14:paraId="4A3C13BE" w14:textId="77777777" w:rsidR="00E352AE" w:rsidRDefault="00E352AE" w:rsidP="00226DC2">
      <w:pPr>
        <w:spacing w:after="0" w:line="240" w:lineRule="auto"/>
      </w:pPr>
      <w:r>
        <w:continuationSeparator/>
      </w:r>
    </w:p>
  </w:footnote>
  <w:footnote w:type="continuationNotice" w:id="1">
    <w:p w14:paraId="6CA2988A" w14:textId="77777777" w:rsidR="00E352AE" w:rsidRDefault="00E352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4626B" w14:textId="35B0BAAC" w:rsidR="00226DC2" w:rsidRPr="00B8509E" w:rsidRDefault="00226DC2" w:rsidP="00131FA3">
    <w:pPr>
      <w:pStyle w:val="Header"/>
      <w:tabs>
        <w:tab w:val="clear" w:pos="4680"/>
      </w:tabs>
      <w:rPr>
        <w:rFonts w:cs="Calibri"/>
        <w:b/>
        <w:i/>
        <w:sz w:val="28"/>
        <w:szCs w:val="28"/>
      </w:rPr>
    </w:pPr>
    <w:r w:rsidRPr="00B8509E">
      <w:rPr>
        <w:rFonts w:cs="Calibri"/>
        <w:b/>
        <w:i/>
        <w:sz w:val="28"/>
        <w:szCs w:val="28"/>
      </w:rPr>
      <w:t xml:space="preserve">Anexa </w:t>
    </w:r>
    <w:r w:rsidR="004C72D2" w:rsidRPr="00B8509E">
      <w:rPr>
        <w:rFonts w:cs="Calibri"/>
        <w:b/>
        <w:i/>
        <w:sz w:val="28"/>
        <w:szCs w:val="28"/>
      </w:rPr>
      <w:t>I.</w:t>
    </w:r>
    <w:r w:rsidR="00B8509E" w:rsidRPr="00B8509E">
      <w:rPr>
        <w:rFonts w:cs="Calibri"/>
        <w:b/>
        <w:i/>
        <w:sz w:val="28"/>
        <w:szCs w:val="28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73C95"/>
    <w:multiLevelType w:val="hybridMultilevel"/>
    <w:tmpl w:val="D87455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432D0"/>
    <w:multiLevelType w:val="hybridMultilevel"/>
    <w:tmpl w:val="02943C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87276"/>
    <w:multiLevelType w:val="hybridMultilevel"/>
    <w:tmpl w:val="E75420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B68E8"/>
    <w:multiLevelType w:val="hybridMultilevel"/>
    <w:tmpl w:val="9F1A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A56B73"/>
    <w:multiLevelType w:val="hybridMultilevel"/>
    <w:tmpl w:val="7248B5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C6395"/>
    <w:multiLevelType w:val="hybridMultilevel"/>
    <w:tmpl w:val="E64EC3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C45054"/>
    <w:multiLevelType w:val="hybridMultilevel"/>
    <w:tmpl w:val="D4543D4E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BAD8897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FC665F"/>
    <w:multiLevelType w:val="hybridMultilevel"/>
    <w:tmpl w:val="270E89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5696D"/>
    <w:multiLevelType w:val="hybridMultilevel"/>
    <w:tmpl w:val="21DECB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B0851"/>
    <w:multiLevelType w:val="hybridMultilevel"/>
    <w:tmpl w:val="8C6ED4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BB769D"/>
    <w:multiLevelType w:val="hybridMultilevel"/>
    <w:tmpl w:val="92C40C36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BAD8897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4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122F3B"/>
    <w:multiLevelType w:val="hybridMultilevel"/>
    <w:tmpl w:val="A4A6F3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C2"/>
    <w:rsid w:val="00000158"/>
    <w:rsid w:val="00004B66"/>
    <w:rsid w:val="00042F46"/>
    <w:rsid w:val="00047202"/>
    <w:rsid w:val="00054205"/>
    <w:rsid w:val="000B374A"/>
    <w:rsid w:val="000F2DB6"/>
    <w:rsid w:val="00103774"/>
    <w:rsid w:val="00124628"/>
    <w:rsid w:val="00131FA3"/>
    <w:rsid w:val="001553B8"/>
    <w:rsid w:val="001A3AD2"/>
    <w:rsid w:val="001D231A"/>
    <w:rsid w:val="001E113F"/>
    <w:rsid w:val="001E6EA2"/>
    <w:rsid w:val="002001B8"/>
    <w:rsid w:val="00205A1B"/>
    <w:rsid w:val="002241AC"/>
    <w:rsid w:val="00226DC2"/>
    <w:rsid w:val="00265838"/>
    <w:rsid w:val="003206EA"/>
    <w:rsid w:val="00321342"/>
    <w:rsid w:val="00346BD5"/>
    <w:rsid w:val="003B71B8"/>
    <w:rsid w:val="003C40FD"/>
    <w:rsid w:val="003D1DC6"/>
    <w:rsid w:val="004024D7"/>
    <w:rsid w:val="00440F90"/>
    <w:rsid w:val="00443B61"/>
    <w:rsid w:val="00474FB4"/>
    <w:rsid w:val="00475F52"/>
    <w:rsid w:val="004B3678"/>
    <w:rsid w:val="004B4EF9"/>
    <w:rsid w:val="004C0676"/>
    <w:rsid w:val="004C72D2"/>
    <w:rsid w:val="00557A8E"/>
    <w:rsid w:val="00583ADA"/>
    <w:rsid w:val="005A7944"/>
    <w:rsid w:val="005B19E7"/>
    <w:rsid w:val="005E621F"/>
    <w:rsid w:val="005F61DB"/>
    <w:rsid w:val="00652D55"/>
    <w:rsid w:val="00672D4F"/>
    <w:rsid w:val="006B4B1F"/>
    <w:rsid w:val="006D602D"/>
    <w:rsid w:val="007B23FF"/>
    <w:rsid w:val="007C10BC"/>
    <w:rsid w:val="007D462A"/>
    <w:rsid w:val="007F5771"/>
    <w:rsid w:val="007F6C44"/>
    <w:rsid w:val="00831AEE"/>
    <w:rsid w:val="00832CBA"/>
    <w:rsid w:val="008A4C9F"/>
    <w:rsid w:val="008E0ED6"/>
    <w:rsid w:val="008E484A"/>
    <w:rsid w:val="008E5EF7"/>
    <w:rsid w:val="008E6FB2"/>
    <w:rsid w:val="008F08FA"/>
    <w:rsid w:val="00914FB1"/>
    <w:rsid w:val="009526AD"/>
    <w:rsid w:val="00962526"/>
    <w:rsid w:val="00965E1F"/>
    <w:rsid w:val="009A1977"/>
    <w:rsid w:val="009A43FF"/>
    <w:rsid w:val="009A5E68"/>
    <w:rsid w:val="009B229C"/>
    <w:rsid w:val="00A00E65"/>
    <w:rsid w:val="00A4616B"/>
    <w:rsid w:val="00A72367"/>
    <w:rsid w:val="00A77AAA"/>
    <w:rsid w:val="00A831C1"/>
    <w:rsid w:val="00AA28C5"/>
    <w:rsid w:val="00AB734E"/>
    <w:rsid w:val="00AD4BF4"/>
    <w:rsid w:val="00AF7DD5"/>
    <w:rsid w:val="00B27F6C"/>
    <w:rsid w:val="00B3630F"/>
    <w:rsid w:val="00B8509E"/>
    <w:rsid w:val="00B87E56"/>
    <w:rsid w:val="00BC24BC"/>
    <w:rsid w:val="00BF0E9D"/>
    <w:rsid w:val="00C20DF9"/>
    <w:rsid w:val="00C56BB2"/>
    <w:rsid w:val="00C90EEC"/>
    <w:rsid w:val="00CB419D"/>
    <w:rsid w:val="00CB5341"/>
    <w:rsid w:val="00CC3BD0"/>
    <w:rsid w:val="00CD0819"/>
    <w:rsid w:val="00CF4B42"/>
    <w:rsid w:val="00D174AB"/>
    <w:rsid w:val="00D27E46"/>
    <w:rsid w:val="00D33526"/>
    <w:rsid w:val="00D966E9"/>
    <w:rsid w:val="00DC0BE7"/>
    <w:rsid w:val="00DD6C64"/>
    <w:rsid w:val="00DD75C1"/>
    <w:rsid w:val="00E06B6F"/>
    <w:rsid w:val="00E07523"/>
    <w:rsid w:val="00E3251B"/>
    <w:rsid w:val="00E33F0A"/>
    <w:rsid w:val="00E352AE"/>
    <w:rsid w:val="00E450C2"/>
    <w:rsid w:val="00E503FF"/>
    <w:rsid w:val="00EA75E0"/>
    <w:rsid w:val="00EE13D5"/>
    <w:rsid w:val="00EF77B4"/>
    <w:rsid w:val="00F12EDA"/>
    <w:rsid w:val="00F20617"/>
    <w:rsid w:val="00F57FAD"/>
    <w:rsid w:val="00F6156E"/>
    <w:rsid w:val="00F7067F"/>
    <w:rsid w:val="00F727A4"/>
    <w:rsid w:val="00F82D9C"/>
    <w:rsid w:val="00FE1099"/>
    <w:rsid w:val="6DB0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2EBA0"/>
  <w15:chartTrackingRefBased/>
  <w15:docId w15:val="{AD9FAF8A-E278-7A4B-8279-D3E300AF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DC2"/>
    <w:pPr>
      <w:spacing w:after="200" w:line="276" w:lineRule="auto"/>
    </w:pPr>
    <w:rPr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DC2"/>
  </w:style>
  <w:style w:type="paragraph" w:styleId="Footer">
    <w:name w:val="footer"/>
    <w:basedOn w:val="Normal"/>
    <w:link w:val="FooterChar"/>
    <w:uiPriority w:val="99"/>
    <w:unhideWhenUsed/>
    <w:rsid w:val="00226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DC2"/>
  </w:style>
  <w:style w:type="paragraph" w:styleId="BalloonText">
    <w:name w:val="Balloon Text"/>
    <w:basedOn w:val="Normal"/>
    <w:link w:val="BalloonTextChar"/>
    <w:uiPriority w:val="99"/>
    <w:semiHidden/>
    <w:unhideWhenUsed/>
    <w:rsid w:val="0022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6DC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26DC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BodyTextChar">
    <w:name w:val="Body Text Char"/>
    <w:link w:val="BodyText"/>
    <w:rsid w:val="00226DC2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124628"/>
    <w:rPr>
      <w:sz w:val="22"/>
      <w:szCs w:val="22"/>
      <w:lang w:val="ro-RO" w:eastAsia="en-US"/>
    </w:rPr>
  </w:style>
  <w:style w:type="table" w:styleId="TableGrid">
    <w:name w:val="Table Grid"/>
    <w:basedOn w:val="TableNormal"/>
    <w:uiPriority w:val="59"/>
    <w:rsid w:val="005E6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User</cp:lastModifiedBy>
  <cp:revision>4</cp:revision>
  <cp:lastPrinted>2024-11-24T12:51:00Z</cp:lastPrinted>
  <dcterms:created xsi:type="dcterms:W3CDTF">2024-11-24T12:50:00Z</dcterms:created>
  <dcterms:modified xsi:type="dcterms:W3CDTF">2025-02-03T10:57:00Z</dcterms:modified>
  <cp:category/>
</cp:coreProperties>
</file>