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F3" w:rsidRPr="00551E17" w:rsidRDefault="00D07DF3" w:rsidP="00D07DF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51E17">
        <w:rPr>
          <w:b/>
        </w:rPr>
        <w:t>NOTĂ DE FUNDAMENTARE</w:t>
      </w:r>
    </w:p>
    <w:p w:rsidR="00D07DF3" w:rsidRPr="00551E17" w:rsidRDefault="00D07DF3" w:rsidP="00D07DF3">
      <w:pPr>
        <w:spacing w:line="276" w:lineRule="auto"/>
        <w:jc w:val="both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1550"/>
        <w:gridCol w:w="810"/>
        <w:gridCol w:w="450"/>
        <w:gridCol w:w="450"/>
        <w:gridCol w:w="450"/>
        <w:gridCol w:w="440"/>
        <w:gridCol w:w="1023"/>
      </w:tblGrid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ind w:left="34"/>
              <w:jc w:val="center"/>
              <w:rPr>
                <w:b/>
              </w:rPr>
            </w:pPr>
          </w:p>
          <w:p w:rsidR="00D07DF3" w:rsidRPr="00551E17" w:rsidRDefault="00D07DF3" w:rsidP="00D07DF3">
            <w:pPr>
              <w:spacing w:line="276" w:lineRule="auto"/>
              <w:ind w:left="34"/>
              <w:jc w:val="center"/>
              <w:rPr>
                <w:b/>
              </w:rPr>
            </w:pPr>
            <w:r w:rsidRPr="00551E17">
              <w:rPr>
                <w:b/>
              </w:rPr>
              <w:t>Secțiunea 1</w:t>
            </w: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Titlul proiectului de act normativ</w:t>
            </w:r>
          </w:p>
          <w:p w:rsidR="00D07DF3" w:rsidRPr="006E3FFE" w:rsidRDefault="00D07DF3" w:rsidP="00D07DF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51E17">
              <w:t xml:space="preserve">Hotărâre </w:t>
            </w:r>
            <w:r>
              <w:t>pentru</w:t>
            </w:r>
            <w:r w:rsidR="00E21C13">
              <w:t xml:space="preserve"> modificarea Anexei </w:t>
            </w:r>
            <w:r w:rsidR="00896C06">
              <w:t>n</w:t>
            </w:r>
            <w:bookmarkStart w:id="0" w:name="_GoBack"/>
            <w:bookmarkEnd w:id="0"/>
            <w:r w:rsidRPr="006E3FFE">
              <w:t>r. 2 la</w:t>
            </w:r>
          </w:p>
          <w:p w:rsidR="00D07DF3" w:rsidRDefault="00D07DF3" w:rsidP="00D07DF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E3FFE">
              <w:t>Hotărârea Guvernului nr. 144/2010 privind organizarea şi funcționarea</w:t>
            </w:r>
            <w:r>
              <w:t xml:space="preserve"> </w:t>
            </w:r>
            <w:r w:rsidRPr="006E3FFE">
              <w:t>Ministerului Sănătății</w:t>
            </w:r>
          </w:p>
          <w:p w:rsidR="00D07DF3" w:rsidRPr="00551E17" w:rsidRDefault="00D07DF3" w:rsidP="00D07D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Secțiunea a 2-a</w:t>
            </w: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Motivul emiterii actului normativ</w:t>
            </w:r>
          </w:p>
          <w:p w:rsidR="00D07DF3" w:rsidRPr="00551E17" w:rsidRDefault="00D07DF3" w:rsidP="00D07DF3">
            <w:pPr>
              <w:spacing w:line="276" w:lineRule="auto"/>
              <w:jc w:val="both"/>
              <w:rPr>
                <w:i/>
                <w:iCs/>
              </w:rPr>
            </w:pPr>
            <w:r w:rsidRPr="00551E17">
              <w:tab/>
              <w:t xml:space="preserve"> 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F5055A" w:rsidRDefault="00D07DF3" w:rsidP="00D07DF3">
            <w:pPr>
              <w:numPr>
                <w:ilvl w:val="1"/>
                <w:numId w:val="1"/>
              </w:numPr>
              <w:spacing w:line="276" w:lineRule="auto"/>
              <w:rPr>
                <w:b/>
              </w:rPr>
            </w:pPr>
            <w:r w:rsidRPr="00551E17">
              <w:t>Sursa proiectului de act normativ</w:t>
            </w:r>
          </w:p>
          <w:p w:rsidR="00D07DF3" w:rsidRPr="00551E17" w:rsidRDefault="00D07DF3" w:rsidP="00D07DF3">
            <w:pPr>
              <w:spacing w:line="276" w:lineRule="auto"/>
              <w:rPr>
                <w:color w:val="000000"/>
              </w:rPr>
            </w:pPr>
            <w:r w:rsidRPr="00F5055A">
              <w:t>Prezentul act normativ a fost inițiat și elaborat de către Ministerul S</w:t>
            </w:r>
            <w:r>
              <w:t>ănătății</w:t>
            </w:r>
            <w:r w:rsidRPr="00F5055A">
              <w:t xml:space="preserve"> ca</w:t>
            </w:r>
            <w:r>
              <w:t xml:space="preserve"> </w:t>
            </w:r>
            <w:r w:rsidRPr="00F5055A">
              <w:t xml:space="preserve">urmare a intrării în vigoare </w:t>
            </w:r>
            <w:r w:rsidRPr="00711EAA">
              <w:t>a Hotărârii</w:t>
            </w:r>
            <w:r>
              <w:t xml:space="preserve"> Guvernului</w:t>
            </w:r>
            <w:r w:rsidRPr="00F5055A">
              <w:t xml:space="preserve"> </w:t>
            </w:r>
            <w:r>
              <w:t>n</w:t>
            </w:r>
            <w:r w:rsidRPr="00B15AC1">
              <w:t>r. 1.658</w:t>
            </w:r>
            <w:r w:rsidRPr="00F5055A">
              <w:t>/202</w:t>
            </w:r>
            <w:r>
              <w:t>4</w:t>
            </w:r>
            <w:r w:rsidRPr="00F5055A">
              <w:t xml:space="preserve"> </w:t>
            </w:r>
            <w:r w:rsidRPr="00612F86">
              <w:t>pentru modificarea Hotărârii Guvernului nr. 1.424/2009 privind înfiinţarea, organizarea şi funcţionarea Centrului Naţional de Sănătate Mintală şi Luptă Antidrog</w:t>
            </w:r>
            <w:r w:rsidRPr="00F5055A">
              <w:t>,</w:t>
            </w:r>
            <w:r>
              <w:t xml:space="preserve"> </w:t>
            </w:r>
            <w:r w:rsidRPr="00F5055A">
              <w:t xml:space="preserve">publicată în Monitorul Oficial al României Partea I </w:t>
            </w:r>
            <w:r>
              <w:t>n</w:t>
            </w:r>
            <w:r w:rsidRPr="00612F86">
              <w:t>r. 1.294 din 20 decembrie 2024</w:t>
            </w:r>
            <w:r w:rsidRPr="00F5055A">
              <w:t>.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Default="00D07DF3" w:rsidP="00D07DF3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551E17">
              <w:t>Descrierea situației actuale</w:t>
            </w:r>
          </w:p>
          <w:p w:rsidR="00D07DF3" w:rsidRDefault="00D07DF3" w:rsidP="007705EA">
            <w:pPr>
              <w:spacing w:line="276" w:lineRule="auto"/>
              <w:jc w:val="both"/>
            </w:pPr>
            <w:r>
              <w:t>Prin Hotărârea</w:t>
            </w:r>
            <w:r w:rsidRPr="006F0778">
              <w:t xml:space="preserve"> Guvernului nr. 1.658/2024 pentru modificarea Hotărârii Guvernului nr. 1.424/2009 privind înfiinţarea, organizarea şi funcţionarea Centrului Naţional de Sănătate Mintală şi Luptă Antidrog</w:t>
            </w:r>
            <w:r>
              <w:t xml:space="preserve">, a fost suplimentat numărul maxim de posturi al </w:t>
            </w:r>
            <w:r>
              <w:rPr>
                <w:rStyle w:val="rvts3"/>
              </w:rPr>
              <w:t>Centrului la 30 și a fost modificată forma de finanțare a Centrului astfel încât, î</w:t>
            </w:r>
            <w:r>
              <w:t xml:space="preserve">n prezent, conform art. 2 din </w:t>
            </w:r>
            <w:r w:rsidRPr="00593FFC">
              <w:t>Hotărâre</w:t>
            </w:r>
            <w:r>
              <w:t>a Guvernului</w:t>
            </w:r>
            <w:r w:rsidRPr="00593FFC">
              <w:t xml:space="preserve"> </w:t>
            </w:r>
            <w:r>
              <w:t>n</w:t>
            </w:r>
            <w:r w:rsidRPr="00593FFC">
              <w:t>r. 1.424</w:t>
            </w:r>
            <w:r>
              <w:t>/</w:t>
            </w:r>
            <w:r w:rsidRPr="00593FFC">
              <w:t>2009</w:t>
            </w:r>
            <w:r>
              <w:t xml:space="preserve"> </w:t>
            </w:r>
            <w:r w:rsidRPr="00593FFC">
              <w:t>privind înfiinţarea, organizarea şi funcţionarea Centrului Naţional de Sănătate Mintală şi Luptă Antidrog</w:t>
            </w:r>
            <w:r>
              <w:t xml:space="preserve">, cu modificările și completările ulterioare, </w:t>
            </w:r>
            <w:r w:rsidRPr="00755FB5">
              <w:t>Centrul</w:t>
            </w:r>
            <w:r>
              <w:t xml:space="preserve"> </w:t>
            </w:r>
            <w:r w:rsidRPr="00755FB5">
              <w:t xml:space="preserve">se </w:t>
            </w:r>
            <w:proofErr w:type="spellStart"/>
            <w:r w:rsidRPr="00755FB5">
              <w:t>finanţează</w:t>
            </w:r>
            <w:proofErr w:type="spellEnd"/>
            <w:r>
              <w:t xml:space="preserve"> integral</w:t>
            </w:r>
            <w:r w:rsidRPr="00755FB5">
              <w:t xml:space="preserve"> din bugetul de stat, prin bugetul Ministerului Sănătăţii.</w:t>
            </w:r>
          </w:p>
          <w:p w:rsidR="00D07DF3" w:rsidRPr="00551E17" w:rsidRDefault="00D07DF3" w:rsidP="00770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FF0000"/>
              </w:rPr>
            </w:pPr>
            <w:r>
              <w:t xml:space="preserve">Totodată, conform lit. A, pct. </w:t>
            </w:r>
            <w:r w:rsidRPr="00F64672">
              <w:t>III</w:t>
            </w:r>
            <w:r>
              <w:t xml:space="preserve"> din Anexa nr. 2 la Hotărârea Guvernului</w:t>
            </w:r>
            <w:r w:rsidRPr="004944C2">
              <w:t xml:space="preserve"> </w:t>
            </w:r>
            <w:r>
              <w:t>n</w:t>
            </w:r>
            <w:r w:rsidRPr="004944C2">
              <w:t>r. 144</w:t>
            </w:r>
            <w:r>
              <w:t>/</w:t>
            </w:r>
            <w:r w:rsidRPr="004944C2">
              <w:t>2010</w:t>
            </w:r>
            <w:r>
              <w:t xml:space="preserve"> </w:t>
            </w:r>
            <w:r w:rsidRPr="004944C2">
              <w:t>privind organizarea şi funcţionarea Ministerului Sănătăţii</w:t>
            </w:r>
            <w:r>
              <w:t xml:space="preserve">, cu modificările și completările ulterioare, </w:t>
            </w:r>
            <w:r w:rsidRPr="00247E52">
              <w:t>Centrul Naţional de Sănătate Mintală şi Luptă Antidrog Bucureşti</w:t>
            </w:r>
            <w:r>
              <w:t xml:space="preserve"> este menționat în cadrul </w:t>
            </w:r>
            <w:proofErr w:type="spellStart"/>
            <w:r>
              <w:t>u</w:t>
            </w:r>
            <w:r w:rsidRPr="00277B0B">
              <w:t>nităţi</w:t>
            </w:r>
            <w:r>
              <w:t>lor</w:t>
            </w:r>
            <w:proofErr w:type="spellEnd"/>
            <w:r>
              <w:t xml:space="preserve"> </w:t>
            </w:r>
            <w:r w:rsidRPr="000A7411">
              <w:t>aflate în subordinea Ministerului Sănătăţii</w:t>
            </w:r>
            <w:r w:rsidRPr="00277B0B">
              <w:t xml:space="preserve"> </w:t>
            </w:r>
            <w:proofErr w:type="spellStart"/>
            <w:r w:rsidRPr="00277B0B">
              <w:t>finanţate</w:t>
            </w:r>
            <w:proofErr w:type="spellEnd"/>
            <w:r w:rsidRPr="00277B0B">
              <w:t xml:space="preserve"> din venituri proprii şi </w:t>
            </w:r>
            <w:proofErr w:type="spellStart"/>
            <w:r>
              <w:t>subvenţii</w:t>
            </w:r>
            <w:proofErr w:type="spellEnd"/>
            <w:r>
              <w:t xml:space="preserve"> de la bugetul de stat.</w:t>
            </w:r>
          </w:p>
        </w:tc>
      </w:tr>
      <w:tr w:rsidR="00D07DF3" w:rsidRPr="00551E17" w:rsidTr="00D07DF3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numPr>
                <w:ilvl w:val="1"/>
                <w:numId w:val="1"/>
              </w:numPr>
              <w:spacing w:line="276" w:lineRule="auto"/>
              <w:jc w:val="both"/>
            </w:pPr>
            <w:r w:rsidRPr="00551E17">
              <w:t>Schimbări preconizate</w:t>
            </w:r>
          </w:p>
          <w:p w:rsidR="00D07DF3" w:rsidRPr="00A354AA" w:rsidRDefault="00D07DF3" w:rsidP="00D07DF3">
            <w:pPr>
              <w:spacing w:line="276" w:lineRule="auto"/>
              <w:jc w:val="both"/>
            </w:pPr>
            <w:r w:rsidRPr="00551E17">
              <w:rPr>
                <w:iCs/>
              </w:rPr>
              <w:t>Prin prezentul act normativ</w:t>
            </w:r>
            <w:r>
              <w:rPr>
                <w:iCs/>
              </w:rPr>
              <w:t xml:space="preserve"> </w:t>
            </w:r>
            <w:r w:rsidRPr="00551E17">
              <w:rPr>
                <w:iCs/>
              </w:rPr>
              <w:t xml:space="preserve">se propune </w:t>
            </w:r>
            <w:r>
              <w:t xml:space="preserve">modificarea anexei nr. 2 la Hotărârea Guvernului nr. 144/2010 astfel încât Centrul </w:t>
            </w:r>
            <w:r w:rsidRPr="006F0778">
              <w:t>Naţional de Sănătate Mintală şi Luptă Antidrog</w:t>
            </w:r>
            <w:r>
              <w:t xml:space="preserve"> să treacă de la </w:t>
            </w:r>
            <w:proofErr w:type="spellStart"/>
            <w:r>
              <w:t>u</w:t>
            </w:r>
            <w:r w:rsidRPr="00B44C96">
              <w:t>nităţi</w:t>
            </w:r>
            <w:r w:rsidR="00513D9F">
              <w:t>le</w:t>
            </w:r>
            <w:proofErr w:type="spellEnd"/>
            <w:r>
              <w:t xml:space="preserve"> </w:t>
            </w:r>
            <w:r w:rsidRPr="0027175F">
              <w:t>aflate în subordinea Ministerului Sănătăţii</w:t>
            </w:r>
            <w:r>
              <w:t xml:space="preserve"> </w:t>
            </w:r>
            <w:proofErr w:type="spellStart"/>
            <w:r w:rsidRPr="00B44C96">
              <w:t>finanţate</w:t>
            </w:r>
            <w:proofErr w:type="spellEnd"/>
            <w:r w:rsidRPr="00B44C96">
              <w:t xml:space="preserve"> din venituri proprii şi </w:t>
            </w:r>
            <w:proofErr w:type="spellStart"/>
            <w:r>
              <w:t>subvenţii</w:t>
            </w:r>
            <w:proofErr w:type="spellEnd"/>
            <w:r>
              <w:t xml:space="preserve"> de la bugetul de stat la </w:t>
            </w:r>
            <w:proofErr w:type="spellStart"/>
            <w:r>
              <w:t>u</w:t>
            </w:r>
            <w:r w:rsidRPr="00B44C96">
              <w:t>nităţi</w:t>
            </w:r>
            <w:r w:rsidR="00513D9F">
              <w:t>le</w:t>
            </w:r>
            <w:proofErr w:type="spellEnd"/>
            <w:r w:rsidRPr="00B44C96">
              <w:t xml:space="preserve"> </w:t>
            </w:r>
            <w:r w:rsidRPr="0027175F">
              <w:t>aflate în subordinea Ministerului Sănătăţii</w:t>
            </w:r>
            <w:r>
              <w:t xml:space="preserve"> </w:t>
            </w:r>
            <w:proofErr w:type="spellStart"/>
            <w:r w:rsidRPr="00B44C96">
              <w:t>finanţate</w:t>
            </w:r>
            <w:proofErr w:type="spellEnd"/>
            <w:r>
              <w:t xml:space="preserve"> integral de la bugetul de stat, în acord cu sursa de finanțare prevăzută pentru </w:t>
            </w:r>
            <w:r w:rsidRPr="00A354AA">
              <w:t>Centru</w:t>
            </w:r>
            <w:r w:rsidR="00C43C4A" w:rsidRPr="00A354AA">
              <w:t xml:space="preserve">l </w:t>
            </w:r>
            <w:proofErr w:type="spellStart"/>
            <w:r w:rsidR="00C43C4A" w:rsidRPr="00A354AA">
              <w:t>Naṭional</w:t>
            </w:r>
            <w:proofErr w:type="spellEnd"/>
            <w:r w:rsidR="00C43C4A" w:rsidRPr="00A354AA">
              <w:t xml:space="preserve"> de Sănătate Mintală și Luptă </w:t>
            </w:r>
            <w:r w:rsidR="00316CA7" w:rsidRPr="00A354AA">
              <w:t>A</w:t>
            </w:r>
            <w:r w:rsidR="00C43C4A" w:rsidRPr="00A354AA">
              <w:t>ntidrog București</w:t>
            </w:r>
            <w:r w:rsidRPr="00A354AA">
              <w:t xml:space="preserve"> în </w:t>
            </w:r>
            <w:r w:rsidR="00C43C4A" w:rsidRPr="00A354AA">
              <w:t>Hotărârea Guvernului</w:t>
            </w:r>
            <w:r w:rsidRPr="00A354AA">
              <w:t xml:space="preserve"> 1.424/2009,  </w:t>
            </w:r>
            <w:r w:rsidR="00C43C4A" w:rsidRPr="00A354AA">
              <w:rPr>
                <w:iCs/>
                <w:shd w:val="clear" w:color="auto" w:fill="FFFFFF"/>
              </w:rPr>
              <w:t xml:space="preserve">respectiv cu un număr maxim de 30 de </w:t>
            </w:r>
            <w:r w:rsidRPr="00A354AA">
              <w:t>posturi</w:t>
            </w:r>
            <w:r w:rsidR="00C43C4A" w:rsidRPr="00A354AA">
              <w:t>.</w:t>
            </w:r>
          </w:p>
          <w:p w:rsidR="00C43C4A" w:rsidRPr="00A354AA" w:rsidRDefault="00C43C4A" w:rsidP="00D07DF3">
            <w:pPr>
              <w:spacing w:line="276" w:lineRule="auto"/>
              <w:jc w:val="both"/>
            </w:pPr>
            <w:r w:rsidRPr="00A354AA">
              <w:t>De asemenea</w:t>
            </w:r>
            <w:r w:rsidR="00B447A1" w:rsidRPr="00A354AA">
              <w:t>,</w:t>
            </w:r>
            <w:r w:rsidRPr="00A354AA">
              <w:t xml:space="preserve"> </w:t>
            </w:r>
            <w:r w:rsidR="00316CA7" w:rsidRPr="00A354AA">
              <w:t xml:space="preserve">ca </w:t>
            </w:r>
            <w:r w:rsidR="00B447A1" w:rsidRPr="00A354AA">
              <w:t>urmare a aprobării</w:t>
            </w:r>
            <w:r w:rsidRPr="00A354AA">
              <w:t xml:space="preserve"> </w:t>
            </w:r>
            <w:r w:rsidR="00316CA7" w:rsidRPr="00A354AA">
              <w:t>M</w:t>
            </w:r>
            <w:r w:rsidRPr="00A354AA">
              <w:t>emorandumul</w:t>
            </w:r>
            <w:r w:rsidR="00B447A1" w:rsidRPr="00A354AA">
              <w:t>ui</w:t>
            </w:r>
            <w:r w:rsidRPr="00A354AA">
              <w:t xml:space="preserve"> cu tema: </w:t>
            </w:r>
            <w:r w:rsidR="00B447A1" w:rsidRPr="00A354AA">
              <w:t>„</w:t>
            </w:r>
            <w:r w:rsidRPr="00A354AA">
              <w:t xml:space="preserve">Exceptarea de la procesul de </w:t>
            </w:r>
            <w:proofErr w:type="spellStart"/>
            <w:r w:rsidRPr="00A354AA">
              <w:t>desfiinṭare</w:t>
            </w:r>
            <w:proofErr w:type="spellEnd"/>
            <w:r w:rsidRPr="00A354AA">
              <w:t xml:space="preserve"> a Academiei de </w:t>
            </w:r>
            <w:proofErr w:type="spellStart"/>
            <w:r w:rsidRPr="00A354AA">
              <w:t>Stiinṭe</w:t>
            </w:r>
            <w:proofErr w:type="spellEnd"/>
            <w:r w:rsidRPr="00A354AA">
              <w:t xml:space="preserve"> Medicale, unitate din subordinea Ministerului </w:t>
            </w:r>
            <w:proofErr w:type="spellStart"/>
            <w:r w:rsidRPr="00A354AA">
              <w:t>Sănătăṭii</w:t>
            </w:r>
            <w:proofErr w:type="spellEnd"/>
            <w:r w:rsidRPr="00A354AA">
              <w:t xml:space="preserve"> și </w:t>
            </w:r>
            <w:proofErr w:type="spellStart"/>
            <w:r w:rsidRPr="00A354AA">
              <w:t>suplimerntarea</w:t>
            </w:r>
            <w:proofErr w:type="spellEnd"/>
            <w:r w:rsidRPr="00A354AA">
              <w:t xml:space="preserve"> statului de </w:t>
            </w:r>
            <w:proofErr w:type="spellStart"/>
            <w:r w:rsidRPr="00A354AA">
              <w:t>funcṭii</w:t>
            </w:r>
            <w:proofErr w:type="spellEnd"/>
            <w:r w:rsidRPr="00A354AA">
              <w:t xml:space="preserve"> al acestuia cu un număr de 5 posturi</w:t>
            </w:r>
            <w:r w:rsidR="00B447A1" w:rsidRPr="00A354AA">
              <w:t xml:space="preserve">”, </w:t>
            </w:r>
            <w:proofErr w:type="spellStart"/>
            <w:r w:rsidR="004C6BC2" w:rsidRPr="00A354AA">
              <w:t>ȋn</w:t>
            </w:r>
            <w:proofErr w:type="spellEnd"/>
            <w:r w:rsidR="004C6BC2" w:rsidRPr="00A354AA">
              <w:t xml:space="preserve"> </w:t>
            </w:r>
            <w:proofErr w:type="spellStart"/>
            <w:r w:rsidR="004C6BC2" w:rsidRPr="00A354AA">
              <w:t>ședinṭa</w:t>
            </w:r>
            <w:proofErr w:type="spellEnd"/>
            <w:r w:rsidR="004C6BC2" w:rsidRPr="00A354AA">
              <w:t xml:space="preserve"> Guvernului </w:t>
            </w:r>
            <w:proofErr w:type="spellStart"/>
            <w:r w:rsidR="00316CA7" w:rsidRPr="00A354AA">
              <w:t>Romȃniei</w:t>
            </w:r>
            <w:proofErr w:type="spellEnd"/>
            <w:r w:rsidR="00316CA7" w:rsidRPr="00A354AA">
              <w:t xml:space="preserve"> </w:t>
            </w:r>
            <w:r w:rsidR="004C6BC2" w:rsidRPr="00A354AA">
              <w:t xml:space="preserve">din data de 28.06.2024, statul de </w:t>
            </w:r>
            <w:proofErr w:type="spellStart"/>
            <w:r w:rsidR="004C6BC2" w:rsidRPr="00A354AA">
              <w:t>funcṭii</w:t>
            </w:r>
            <w:proofErr w:type="spellEnd"/>
            <w:r w:rsidR="004C6BC2" w:rsidRPr="00A354AA">
              <w:t xml:space="preserve"> al </w:t>
            </w:r>
            <w:proofErr w:type="spellStart"/>
            <w:r w:rsidR="004C6BC2" w:rsidRPr="00A354AA">
              <w:t>instituṭiei</w:t>
            </w:r>
            <w:proofErr w:type="spellEnd"/>
            <w:r w:rsidR="004C6BC2" w:rsidRPr="00A354AA">
              <w:t xml:space="preserve"> a fost suplimentat cu un număr de 5 posturi, </w:t>
            </w:r>
            <w:r w:rsidR="00316CA7" w:rsidRPr="00A354AA">
              <w:t xml:space="preserve">ceea ce determină </w:t>
            </w:r>
            <w:r w:rsidR="00B447A1" w:rsidRPr="00A354AA">
              <w:t xml:space="preserve">modificarea anexei nr. 2 </w:t>
            </w:r>
            <w:proofErr w:type="spellStart"/>
            <w:r w:rsidR="00B447A1" w:rsidRPr="00A354AA">
              <w:t>pct.III</w:t>
            </w:r>
            <w:proofErr w:type="spellEnd"/>
            <w:r w:rsidR="00B447A1" w:rsidRPr="00A354AA">
              <w:t xml:space="preserve"> la Hotărârea Guvernului nr. 144/2010.</w:t>
            </w:r>
          </w:p>
          <w:p w:rsidR="00D07DF3" w:rsidRPr="00A354AA" w:rsidRDefault="00D07DF3" w:rsidP="00D07DF3">
            <w:pPr>
              <w:spacing w:line="276" w:lineRule="auto"/>
              <w:jc w:val="both"/>
            </w:pPr>
            <w:r w:rsidRPr="00A354AA">
              <w:t xml:space="preserve">Având în vedere cele de mai sus, </w:t>
            </w:r>
            <w:r w:rsidR="004C6BC2" w:rsidRPr="00A354AA">
              <w:t xml:space="preserve">anexa </w:t>
            </w:r>
            <w:r w:rsidRPr="00A354AA">
              <w:t xml:space="preserve">nr. 2 la Hotărârea Guvernului nr. 144/2010, </w:t>
            </w:r>
            <w:r w:rsidR="004C6BC2" w:rsidRPr="00A354AA">
              <w:t xml:space="preserve">se modifică </w:t>
            </w:r>
            <w:r w:rsidRPr="00A354AA">
              <w:t>după cum urmează:</w:t>
            </w:r>
          </w:p>
          <w:p w:rsidR="00D07DF3" w:rsidRDefault="00D07DF3" w:rsidP="00D07DF3">
            <w:pPr>
              <w:spacing w:line="276" w:lineRule="auto"/>
              <w:jc w:val="both"/>
            </w:pPr>
            <w:r>
              <w:t>- se modifică pct. I și pct. III de la lit. A din anexa nr. 2, care va avea următorul conținut: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rPr>
                <w:color w:val="FF0000"/>
              </w:rPr>
              <w:t>   </w:t>
            </w:r>
            <w:r w:rsidRPr="006F62DB">
              <w:rPr>
                <w:bCs/>
                <w:lang w:val="en-US"/>
              </w:rPr>
              <w:t>“</w:t>
            </w:r>
            <w:r w:rsidRPr="006F62DB">
              <w:t xml:space="preserve">I. </w:t>
            </w:r>
            <w:proofErr w:type="spellStart"/>
            <w:r w:rsidRPr="006F62DB">
              <w:t>Unităţi</w:t>
            </w:r>
            <w:proofErr w:type="spellEnd"/>
            <w:r w:rsidRPr="006F62DB">
              <w:t xml:space="preserve"> </w:t>
            </w:r>
            <w:proofErr w:type="spellStart"/>
            <w:r w:rsidRPr="006F62DB">
              <w:t>finanţate</w:t>
            </w:r>
            <w:proofErr w:type="spellEnd"/>
            <w:r w:rsidRPr="006F62DB">
              <w:t xml:space="preserve"> integral de la bugetul de stat: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lastRenderedPageBreak/>
              <w:t xml:space="preserve">   1. </w:t>
            </w:r>
            <w:proofErr w:type="spellStart"/>
            <w:r w:rsidRPr="006F62DB">
              <w:t>direcţiile</w:t>
            </w:r>
            <w:proofErr w:type="spellEnd"/>
            <w:r w:rsidRPr="006F62DB">
              <w:t xml:space="preserve"> de sănătate publică </w:t>
            </w:r>
            <w:proofErr w:type="spellStart"/>
            <w:r w:rsidRPr="006F62DB">
              <w:t>judeţene</w:t>
            </w:r>
            <w:proofErr w:type="spellEnd"/>
            <w:r w:rsidRPr="006F62DB">
              <w:t>, respectiv a municipiului Bucureşti, servicii publice deconcentrate*);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2. Institutul Naţional de Sănătate Publică;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3. Institutul Naţional de Medicină Sportivă;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4. Institutul Naţional de Transfuzie Sanguină "Prof. Dr. C.T. Nicolau";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5. </w:t>
            </w:r>
            <w:proofErr w:type="spellStart"/>
            <w:r w:rsidRPr="006F62DB">
              <w:t>Agenţia</w:t>
            </w:r>
            <w:proofErr w:type="spellEnd"/>
            <w:r w:rsidRPr="006F62DB">
              <w:t xml:space="preserve"> </w:t>
            </w:r>
            <w:proofErr w:type="spellStart"/>
            <w:r w:rsidRPr="006F62DB">
              <w:t>Naţională</w:t>
            </w:r>
            <w:proofErr w:type="spellEnd"/>
            <w:r w:rsidRPr="006F62DB">
              <w:t xml:space="preserve"> de Transplant;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6. Oficiul Central de Stocare pentru </w:t>
            </w:r>
            <w:proofErr w:type="spellStart"/>
            <w:r w:rsidRPr="006F62DB">
              <w:t>Situaţii</w:t>
            </w:r>
            <w:proofErr w:type="spellEnd"/>
            <w:r w:rsidRPr="006F62DB">
              <w:t xml:space="preserve"> Speciale;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7. Registrul Naţional al Donatorilor Voluntari de Celule Stem Hematopoietice;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8. Spitalul </w:t>
            </w:r>
            <w:proofErr w:type="spellStart"/>
            <w:r w:rsidRPr="006F62DB">
              <w:t>Tichileşti</w:t>
            </w:r>
            <w:proofErr w:type="spellEnd"/>
            <w:r w:rsidRPr="006F62DB">
              <w:t xml:space="preserve"> (leprozerie);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    9. s</w:t>
            </w:r>
            <w:r w:rsidRPr="006F62DB">
              <w:t xml:space="preserve">erviciile de ambulanţă </w:t>
            </w:r>
            <w:proofErr w:type="spellStart"/>
            <w:r w:rsidRPr="006F62DB">
              <w:t>judeţene</w:t>
            </w:r>
            <w:proofErr w:type="spellEnd"/>
            <w:r w:rsidRPr="006F62DB">
              <w:t xml:space="preserve"> şi Serviciul de Ambulanţă Bucureşti-Ilfov;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10. </w:t>
            </w:r>
            <w:proofErr w:type="spellStart"/>
            <w:r w:rsidRPr="006F62DB">
              <w:t>Agenţia</w:t>
            </w:r>
            <w:proofErr w:type="spellEnd"/>
            <w:r w:rsidRPr="006F62DB">
              <w:t xml:space="preserve"> </w:t>
            </w:r>
            <w:proofErr w:type="spellStart"/>
            <w:r w:rsidRPr="006F62DB">
              <w:t>Naţională</w:t>
            </w:r>
            <w:proofErr w:type="spellEnd"/>
            <w:r w:rsidRPr="006F62DB">
              <w:t xml:space="preserve"> pentru Dezvoltarea Infrastructurii în Sănătate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11. </w:t>
            </w:r>
            <w:r w:rsidRPr="006F62DB">
              <w:rPr>
                <w:bCs/>
              </w:rPr>
              <w:t xml:space="preserve">Centrul Naţional de Sănătate Mintală şi Luptă Antidrog Bucureşti. 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 Numărul maxim de posturi la </w:t>
            </w:r>
            <w:proofErr w:type="spellStart"/>
            <w:r w:rsidRPr="006F62DB">
              <w:t>unităţile</w:t>
            </w:r>
            <w:proofErr w:type="spellEnd"/>
            <w:r w:rsidRPr="006F62DB">
              <w:t xml:space="preserve"> </w:t>
            </w:r>
            <w:proofErr w:type="spellStart"/>
            <w:r w:rsidRPr="006F62DB">
              <w:t>finanţate</w:t>
            </w:r>
            <w:proofErr w:type="spellEnd"/>
            <w:r w:rsidRPr="006F62DB">
              <w:t xml:space="preserve"> integral de la bugetul de stat prevăzute la nr. 1-11 este de </w:t>
            </w:r>
            <w:r w:rsidR="00C43C4A" w:rsidRPr="00D3138E">
              <w:t>19.449</w:t>
            </w:r>
            <w:r w:rsidRPr="006F62DB">
              <w:t>, din care: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- Spitalul </w:t>
            </w:r>
            <w:proofErr w:type="spellStart"/>
            <w:r w:rsidRPr="006F62DB">
              <w:t>Tichileşti</w:t>
            </w:r>
            <w:proofErr w:type="spellEnd"/>
            <w:r w:rsidRPr="006F62DB">
              <w:t xml:space="preserve"> (leprozerie) - 28.</w:t>
            </w:r>
            <w:r w:rsidRPr="006F62DB">
              <w:rPr>
                <w:bCs/>
                <w:lang w:val="en-US"/>
              </w:rPr>
              <w:t xml:space="preserve"> 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 _____________ 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*) În subordinea </w:t>
            </w:r>
            <w:proofErr w:type="spellStart"/>
            <w:r w:rsidRPr="006F62DB">
              <w:t>direcţiilor</w:t>
            </w:r>
            <w:proofErr w:type="spellEnd"/>
            <w:r w:rsidRPr="006F62DB">
              <w:t xml:space="preserve"> de sănătate publică </w:t>
            </w:r>
            <w:proofErr w:type="spellStart"/>
            <w:r w:rsidRPr="006F62DB">
              <w:t>judeţene</w:t>
            </w:r>
            <w:proofErr w:type="spellEnd"/>
            <w:r w:rsidRPr="006F62DB">
              <w:t xml:space="preserve"> şi a municipiului Bucureşti </w:t>
            </w:r>
            <w:proofErr w:type="spellStart"/>
            <w:r w:rsidRPr="006F62DB">
              <w:t>funcţionează</w:t>
            </w:r>
            <w:proofErr w:type="spellEnd"/>
            <w:r w:rsidRPr="006F62DB">
              <w:t xml:space="preserve"> centrele </w:t>
            </w:r>
            <w:proofErr w:type="spellStart"/>
            <w:r w:rsidRPr="006F62DB">
              <w:t>judeţene</w:t>
            </w:r>
            <w:proofErr w:type="spellEnd"/>
            <w:r w:rsidRPr="006F62DB">
              <w:t xml:space="preserve"> de </w:t>
            </w:r>
            <w:proofErr w:type="spellStart"/>
            <w:r w:rsidRPr="006F62DB">
              <w:t>întreţinere</w:t>
            </w:r>
            <w:proofErr w:type="spellEnd"/>
            <w:r w:rsidRPr="006F62DB">
              <w:t xml:space="preserve"> şi reparare a aparaturii medicale şi policlinicile cu plată, </w:t>
            </w:r>
            <w:proofErr w:type="spellStart"/>
            <w:r w:rsidRPr="006F62DB">
              <w:t>finanţate</w:t>
            </w:r>
            <w:proofErr w:type="spellEnd"/>
            <w:r w:rsidRPr="006F62DB">
              <w:t xml:space="preserve"> integral din venituri proprii.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..................................................................................................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III. </w:t>
            </w:r>
            <w:proofErr w:type="spellStart"/>
            <w:r w:rsidRPr="006F62DB">
              <w:t>Unităţi</w:t>
            </w:r>
            <w:proofErr w:type="spellEnd"/>
            <w:r w:rsidRPr="006F62DB">
              <w:t xml:space="preserve"> </w:t>
            </w:r>
            <w:proofErr w:type="spellStart"/>
            <w:r w:rsidRPr="006F62DB">
              <w:t>finanţate</w:t>
            </w:r>
            <w:proofErr w:type="spellEnd"/>
            <w:r w:rsidRPr="006F62DB">
              <w:t xml:space="preserve"> din venituri proprii şi </w:t>
            </w:r>
            <w:proofErr w:type="spellStart"/>
            <w:r w:rsidRPr="006F62DB">
              <w:t>subvenţii</w:t>
            </w:r>
            <w:proofErr w:type="spellEnd"/>
            <w:r w:rsidRPr="006F62DB">
              <w:t xml:space="preserve"> de la bugetul de stat: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1. Institutul Naţional de Medicină Legală "Mina Minovici" Bucureşti;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2. Institutul de Medicină Legală </w:t>
            </w:r>
            <w:proofErr w:type="spellStart"/>
            <w:r w:rsidRPr="006F62DB">
              <w:t>Iaşi</w:t>
            </w:r>
            <w:proofErr w:type="spellEnd"/>
            <w:r w:rsidRPr="006F62DB">
              <w:t>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3. Institutul de Medicină Legală Cluj-Napoca;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4. Institutul de Medicină Legală </w:t>
            </w:r>
            <w:proofErr w:type="spellStart"/>
            <w:r w:rsidRPr="006F62DB">
              <w:t>Timişoara</w:t>
            </w:r>
            <w:proofErr w:type="spellEnd"/>
            <w:r w:rsidRPr="006F62DB">
              <w:t>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5. Institutul de Medicină Legală Craiova;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6. Institutul de Medicină Legală Târgu </w:t>
            </w:r>
            <w:proofErr w:type="spellStart"/>
            <w:r w:rsidRPr="006F62DB">
              <w:t>Mureş</w:t>
            </w:r>
            <w:proofErr w:type="spellEnd"/>
            <w:r w:rsidRPr="006F62DB">
              <w:t>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7. Academia de </w:t>
            </w:r>
            <w:proofErr w:type="spellStart"/>
            <w:r w:rsidRPr="006F62DB">
              <w:t>Ştiinţe</w:t>
            </w:r>
            <w:proofErr w:type="spellEnd"/>
            <w:r w:rsidRPr="006F62DB">
              <w:t xml:space="preserve"> Medicale;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>    8. Institutul Naţional de Management al Serviciilor de Sănătate;</w:t>
            </w:r>
          </w:p>
          <w:p w:rsidR="00D07DF3" w:rsidRPr="006F62DB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62DB">
              <w:t xml:space="preserve">    9. </w:t>
            </w:r>
            <w:proofErr w:type="spellStart"/>
            <w:r w:rsidRPr="006F62DB">
              <w:t>Agenţia</w:t>
            </w:r>
            <w:proofErr w:type="spellEnd"/>
            <w:r w:rsidRPr="006F62DB">
              <w:t xml:space="preserve"> </w:t>
            </w:r>
            <w:proofErr w:type="spellStart"/>
            <w:r w:rsidRPr="006F62DB">
              <w:t>Naţională</w:t>
            </w:r>
            <w:proofErr w:type="spellEnd"/>
            <w:r w:rsidRPr="006F62DB">
              <w:t xml:space="preserve"> a Medicamentului şi a Dispozitivelor Medicale din România.</w:t>
            </w:r>
          </w:p>
          <w:p w:rsidR="00D07DF3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6F62DB">
              <w:t xml:space="preserve">   Numărul maxim de posturi la </w:t>
            </w:r>
            <w:proofErr w:type="spellStart"/>
            <w:r w:rsidRPr="006F62DB">
              <w:t>unităţile</w:t>
            </w:r>
            <w:proofErr w:type="spellEnd"/>
            <w:r w:rsidRPr="006F62DB">
              <w:t xml:space="preserve"> prevăzute la pct. 1 - 9 este de </w:t>
            </w:r>
            <w:r w:rsidR="00C43C4A" w:rsidRPr="00D3138E">
              <w:t>947</w:t>
            </w:r>
            <w:r w:rsidRPr="006F62DB">
              <w:rPr>
                <w:bCs/>
                <w:lang w:val="en-US"/>
              </w:rPr>
              <w:t>“</w:t>
            </w:r>
            <w:r w:rsidR="00B447A1">
              <w:rPr>
                <w:bCs/>
                <w:lang w:val="en-US"/>
              </w:rPr>
              <w:t>.</w:t>
            </w:r>
          </w:p>
          <w:p w:rsidR="00E21C13" w:rsidRDefault="00E21C1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</w:p>
          <w:p w:rsidR="00D07DF3" w:rsidRPr="00551E17" w:rsidRDefault="00D07DF3" w:rsidP="00D07DF3">
            <w:pPr>
              <w:tabs>
                <w:tab w:val="left" w:pos="7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</w:tr>
      <w:tr w:rsidR="00D07DF3" w:rsidRPr="00551E17" w:rsidTr="00D07DF3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rPr>
                <w:b/>
              </w:rPr>
              <w:lastRenderedPageBreak/>
              <w:t xml:space="preserve">2.4 </w:t>
            </w:r>
            <w:r w:rsidRPr="00551E17">
              <w:t>Alte informații</w:t>
            </w:r>
          </w:p>
          <w:p w:rsidR="00D07DF3" w:rsidRPr="00551E17" w:rsidRDefault="00D07DF3" w:rsidP="00D07DF3">
            <w:pPr>
              <w:spacing w:line="276" w:lineRule="auto"/>
              <w:jc w:val="both"/>
              <w:rPr>
                <w:b/>
              </w:rPr>
            </w:pPr>
            <w:r w:rsidRPr="00551E17">
              <w:t>Nu au fost identificate.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Secțiunea a 3-a</w:t>
            </w: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 xml:space="preserve">Impactul socioeconomic 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r w:rsidRPr="00551E17">
              <w:rPr>
                <w:b/>
              </w:rPr>
              <w:t>3.1</w:t>
            </w:r>
            <w:r w:rsidRPr="00551E17">
              <w:t xml:space="preserve"> Descrierea generală a beneficiilor și costurilor estimate ca urmare a intrării în vigoare a actului normativ</w:t>
            </w:r>
          </w:p>
          <w:p w:rsidR="00D07DF3" w:rsidRPr="00551E17" w:rsidRDefault="00D07DF3" w:rsidP="00D07DF3"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r w:rsidRPr="00551E17">
              <w:rPr>
                <w:b/>
              </w:rPr>
              <w:t>3.2</w:t>
            </w:r>
            <w:r w:rsidRPr="00551E17">
              <w:t xml:space="preserve"> Impactul social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3.3</w:t>
            </w:r>
            <w:r w:rsidRPr="00551E17">
              <w:t xml:space="preserve"> Impactul asupra drepturilor și libertăților fundamentale ale omului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3.4</w:t>
            </w:r>
            <w:r w:rsidRPr="00551E17">
              <w:t xml:space="preserve"> Impactul macroeconomic</w:t>
            </w:r>
          </w:p>
          <w:p w:rsidR="00D07DF3" w:rsidRPr="00551E17" w:rsidRDefault="00D07DF3" w:rsidP="00D07DF3">
            <w:pPr>
              <w:jc w:val="both"/>
            </w:pPr>
            <w:r w:rsidRPr="00551E17">
              <w:t xml:space="preserve">             3.4.1 Impactul asupra economiei și asupra principalilor indicatori macroeconomici</w:t>
            </w:r>
          </w:p>
          <w:p w:rsidR="00D07DF3" w:rsidRPr="00551E17" w:rsidRDefault="00D07DF3" w:rsidP="00D07DF3">
            <w:pPr>
              <w:jc w:val="both"/>
            </w:pPr>
            <w:r w:rsidRPr="00551E17">
              <w:t xml:space="preserve">             3.4.2 Impactul asupra mediului concurențial si domeniul ajutoarelor de stat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r w:rsidRPr="00551E17">
              <w:rPr>
                <w:b/>
              </w:rPr>
              <w:t>3.5</w:t>
            </w:r>
            <w:r w:rsidRPr="00551E17">
              <w:t>. Impactul asupra mediului de afaceri</w:t>
            </w:r>
          </w:p>
          <w:p w:rsidR="00D07DF3" w:rsidRPr="00551E17" w:rsidRDefault="00D07DF3" w:rsidP="00D07DF3"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3.6</w:t>
            </w:r>
            <w:r w:rsidRPr="00551E17">
              <w:t xml:space="preserve"> Impactul asupra mediului înconjurător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3.7</w:t>
            </w:r>
            <w:r w:rsidRPr="00551E17">
              <w:t xml:space="preserve"> Evaluarea costurilor și beneficiilor din perspectiva inovării și digitalizării</w:t>
            </w:r>
          </w:p>
          <w:p w:rsidR="00D07DF3" w:rsidRPr="00551E17" w:rsidRDefault="00D07DF3" w:rsidP="00D07DF3">
            <w:pPr>
              <w:jc w:val="both"/>
            </w:pPr>
            <w:r w:rsidRPr="00551E17">
              <w:lastRenderedPageBreak/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  <w:rPr>
                <w:shd w:val="clear" w:color="auto" w:fill="FFFFFF"/>
              </w:rPr>
            </w:pPr>
            <w:r w:rsidRPr="00551E17">
              <w:rPr>
                <w:b/>
                <w:shd w:val="clear" w:color="auto" w:fill="FFFFFF"/>
              </w:rPr>
              <w:lastRenderedPageBreak/>
              <w:t>3.8</w:t>
            </w:r>
            <w:r w:rsidRPr="00551E17">
              <w:rPr>
                <w:shd w:val="clear" w:color="auto" w:fill="FFFFFF"/>
              </w:rPr>
              <w:t xml:space="preserve"> Evaluarea costurilor și beneficiilor din perspectiva dezvoltării durabile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3.9</w:t>
            </w:r>
            <w:r w:rsidRPr="00551E17">
              <w:t xml:space="preserve"> Alte informații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51E17">
              <w:rPr>
                <w:b/>
              </w:rPr>
              <w:t>Secţiunea</w:t>
            </w:r>
            <w:proofErr w:type="spellEnd"/>
            <w:r w:rsidRPr="00551E17">
              <w:rPr>
                <w:b/>
              </w:rPr>
              <w:t xml:space="preserve"> a 4-a</w:t>
            </w: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Impactul financiar asupra bugetului general consolidat,</w:t>
            </w: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atât pe termen scurt, pentru anul curent, cât şi pe termen lung (pe 5 ani),</w:t>
            </w:r>
            <w:r w:rsidRPr="00551E17">
              <w:t xml:space="preserve"> </w:t>
            </w:r>
            <w:r w:rsidRPr="00551E17">
              <w:rPr>
                <w:b/>
              </w:rPr>
              <w:t>inclusiv informații cu privire la cheltuieli și venituri</w:t>
            </w: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Indicatori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ind w:right="-127"/>
              <w:jc w:val="both"/>
            </w:pPr>
            <w:r w:rsidRPr="00551E17">
              <w:t>Anul curent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Următorii 4 ani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Media pe 5 ani </w:t>
            </w: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7</w:t>
            </w: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numPr>
                <w:ilvl w:val="1"/>
                <w:numId w:val="2"/>
              </w:numPr>
              <w:spacing w:line="276" w:lineRule="auto"/>
              <w:ind w:right="-336"/>
              <w:jc w:val="both"/>
            </w:pPr>
            <w:r w:rsidRPr="00551E17">
              <w:t xml:space="preserve">Modificări ale veniturilor bugetare, plus/minus, </w:t>
            </w:r>
          </w:p>
          <w:p w:rsidR="00D07DF3" w:rsidRPr="00551E17" w:rsidRDefault="00D07DF3" w:rsidP="00D07DF3">
            <w:pPr>
              <w:spacing w:line="276" w:lineRule="auto"/>
              <w:ind w:left="810" w:right="-336"/>
              <w:jc w:val="both"/>
            </w:pPr>
            <w:r w:rsidRPr="00551E17">
              <w:t>din care: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a)</w:t>
            </w:r>
            <w:r w:rsidRPr="00551E17">
              <w:rPr>
                <w:vertAlign w:val="superscript"/>
              </w:rPr>
              <w:t xml:space="preserve"> </w:t>
            </w:r>
            <w:r w:rsidRPr="00551E17">
              <w:t>buget de stat, din acesta: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(i) impozit pe profit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(ii) impozit pe venit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b) bugete locale: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(i) impozit pe profit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c) bugetul asigurărilor sociale de stat: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(i) </w:t>
            </w:r>
            <w:proofErr w:type="spellStart"/>
            <w:r w:rsidRPr="00551E17">
              <w:t>contribuţii</w:t>
            </w:r>
            <w:proofErr w:type="spellEnd"/>
            <w:r w:rsidRPr="00551E17">
              <w:t xml:space="preserve"> de asigurări</w:t>
            </w:r>
          </w:p>
          <w:p w:rsidR="00D07DF3" w:rsidRPr="00551E17" w:rsidRDefault="00D07DF3" w:rsidP="00D07DF3">
            <w:pPr>
              <w:tabs>
                <w:tab w:val="left" w:pos="567"/>
              </w:tabs>
            </w:pPr>
            <w:r w:rsidRPr="00551E17">
              <w:t>d) alte tipuri de venituri  (se va menționa natura acestora)</w:t>
            </w:r>
          </w:p>
        </w:tc>
        <w:tc>
          <w:tcPr>
            <w:tcW w:w="36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  <w:p w:rsidR="00D07DF3" w:rsidRPr="00551E17" w:rsidRDefault="00D07DF3" w:rsidP="00D07DF3">
            <w:pPr>
              <w:spacing w:line="276" w:lineRule="auto"/>
              <w:jc w:val="both"/>
            </w:pP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     </w:t>
            </w:r>
            <w:r w:rsidRPr="00551E17">
              <w:rPr>
                <w:b/>
              </w:rPr>
              <w:t>4.2</w:t>
            </w:r>
            <w:r w:rsidRPr="00551E17">
              <w:t xml:space="preserve"> Modificări ale cheltuielilor bugetare, plus/minus, din care: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a)</w:t>
            </w:r>
            <w:r w:rsidRPr="00551E17">
              <w:rPr>
                <w:vertAlign w:val="superscript"/>
              </w:rPr>
              <w:t xml:space="preserve"> </w:t>
            </w:r>
            <w:r w:rsidRPr="00551E17">
              <w:t>buget de stat, din acesta: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(i) cheltuieli de personal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(ii) bunuri şi servicii                              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b) bugete locale: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(i) cheltuieli de personal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(ii) bunuri şi servicii    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c) bugetul asigurărilor sociale de stat:                        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(i) cheltuieli de personal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 xml:space="preserve">(ii) bunuri şi servicii  </w:t>
            </w:r>
          </w:p>
          <w:p w:rsidR="00D07DF3" w:rsidRPr="00551E17" w:rsidRDefault="00D07DF3" w:rsidP="00D07DF3">
            <w:pPr>
              <w:tabs>
                <w:tab w:val="left" w:pos="567"/>
              </w:tabs>
            </w:pPr>
            <w:r w:rsidRPr="00551E17">
              <w:t>d) alte tipuri de cheltuieli (se va menționa natura acestora)</w:t>
            </w:r>
          </w:p>
        </w:tc>
        <w:tc>
          <w:tcPr>
            <w:tcW w:w="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F3" w:rsidRPr="00551E17" w:rsidRDefault="00D07DF3" w:rsidP="00D07DF3">
            <w:pPr>
              <w:spacing w:line="276" w:lineRule="auto"/>
              <w:jc w:val="both"/>
            </w:pP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ind w:right="-336"/>
              <w:jc w:val="both"/>
            </w:pPr>
            <w:r w:rsidRPr="00551E17">
              <w:rPr>
                <w:b/>
                <w:bCs/>
              </w:rPr>
              <w:t>4.3</w:t>
            </w:r>
            <w:r w:rsidRPr="00551E17">
              <w:rPr>
                <w:bCs/>
              </w:rPr>
              <w:t xml:space="preserve"> </w:t>
            </w:r>
            <w:r w:rsidRPr="00551E17">
              <w:t>Impact financiar, plus/minus, din care: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a)</w:t>
            </w:r>
            <w:r w:rsidRPr="00551E17">
              <w:rPr>
                <w:vertAlign w:val="superscript"/>
              </w:rPr>
              <w:t xml:space="preserve"> </w:t>
            </w:r>
            <w:r w:rsidRPr="00551E17">
              <w:t>buget de stat</w:t>
            </w:r>
          </w:p>
          <w:p w:rsidR="00D07DF3" w:rsidRPr="00551E17" w:rsidRDefault="00D07DF3" w:rsidP="00D07DF3">
            <w:pPr>
              <w:spacing w:line="276" w:lineRule="auto"/>
              <w:jc w:val="both"/>
              <w:rPr>
                <w:bCs/>
              </w:rPr>
            </w:pPr>
            <w:r w:rsidRPr="00551E17">
              <w:t>b) bugete locale</w:t>
            </w:r>
          </w:p>
        </w:tc>
        <w:tc>
          <w:tcPr>
            <w:tcW w:w="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F3" w:rsidRPr="00551E17" w:rsidRDefault="00D07DF3" w:rsidP="00D07DF3">
            <w:pPr>
              <w:spacing w:line="276" w:lineRule="auto"/>
              <w:jc w:val="both"/>
            </w:pP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  <w:rPr>
                <w:bCs/>
              </w:rPr>
            </w:pPr>
            <w:r w:rsidRPr="00551E17">
              <w:rPr>
                <w:b/>
                <w:bCs/>
              </w:rPr>
              <w:t>4.4</w:t>
            </w:r>
            <w:r w:rsidRPr="00551E17">
              <w:t xml:space="preserve"> Propuneri pentru acoperirea </w:t>
            </w:r>
            <w:proofErr w:type="spellStart"/>
            <w:r w:rsidRPr="00551E17">
              <w:t>creşterii</w:t>
            </w:r>
            <w:proofErr w:type="spellEnd"/>
            <w:r w:rsidRPr="00551E17">
              <w:t xml:space="preserve"> cheltuielilor bugetare</w:t>
            </w:r>
          </w:p>
        </w:tc>
        <w:tc>
          <w:tcPr>
            <w:tcW w:w="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F3" w:rsidRPr="00551E17" w:rsidRDefault="00D07DF3" w:rsidP="00D07DF3">
            <w:pPr>
              <w:spacing w:line="276" w:lineRule="auto"/>
              <w:jc w:val="both"/>
            </w:pP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rPr>
                <w:b/>
              </w:rPr>
              <w:t>4.5</w:t>
            </w:r>
            <w:r w:rsidRPr="00551E17">
              <w:t xml:space="preserve"> Propuneri pentru a compensa reducerea veniturilor bugetare</w:t>
            </w:r>
          </w:p>
        </w:tc>
        <w:tc>
          <w:tcPr>
            <w:tcW w:w="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F3" w:rsidRPr="00551E17" w:rsidRDefault="00D07DF3" w:rsidP="00D07DF3">
            <w:pPr>
              <w:spacing w:line="276" w:lineRule="auto"/>
              <w:jc w:val="both"/>
            </w:pPr>
          </w:p>
        </w:tc>
      </w:tr>
      <w:tr w:rsidR="00D07DF3" w:rsidRPr="00551E17" w:rsidTr="00D07DF3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rPr>
                <w:b/>
              </w:rPr>
              <w:t>4.6</w:t>
            </w:r>
            <w:r w:rsidRPr="00551E17">
              <w:t xml:space="preserve"> Calcule detaliate privind fundamentarea modificărilor veniturilor şi/sau cheltuielilor bugetare</w:t>
            </w:r>
          </w:p>
        </w:tc>
        <w:tc>
          <w:tcPr>
            <w:tcW w:w="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DF3" w:rsidRPr="00551E17" w:rsidRDefault="00D07DF3" w:rsidP="00D07DF3">
            <w:pPr>
              <w:spacing w:line="276" w:lineRule="auto"/>
              <w:jc w:val="both"/>
            </w:pP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autoSpaceDE w:val="0"/>
              <w:autoSpaceDN w:val="0"/>
              <w:adjustRightInd w:val="0"/>
              <w:jc w:val="both"/>
            </w:pPr>
            <w:r w:rsidRPr="00551E17">
              <w:rPr>
                <w:b/>
              </w:rPr>
              <w:t>4.7</w:t>
            </w:r>
            <w:r w:rsidRPr="00551E17">
              <w:t xml:space="preserve"> Prezentarea, în cazul proiectelor de acte normative a căror adoptare atrage majorarea cheltuielilor bugetare, a următoarelor documente:</w:t>
            </w:r>
          </w:p>
          <w:p w:rsidR="00D07DF3" w:rsidRPr="00551E17" w:rsidRDefault="00D07DF3" w:rsidP="00D07D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551E17">
              <w:t>fișa financiară prevăzută la art.15 din Legea nr. 500/2002 privind finanțele publice, cu modificările şi completările ulterioare, însoțită de ipotezele și metodologia de calcul utilizată;</w:t>
            </w:r>
          </w:p>
          <w:p w:rsidR="00D07DF3" w:rsidRPr="00677498" w:rsidRDefault="00D07DF3" w:rsidP="00D07D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551E17">
              <w:t>declarație conform căreia majorarea de cheltuială respectivă este compatibilă cu obiectivele şi prioritățile strategice specificate în strategia fiscal-bugetară, cu legea bugetară anuală şi cu plafoanele de cheltuieli prezentate în strategia fiscal-bugetară.</w:t>
            </w:r>
            <w:r w:rsidRPr="00551E17">
              <w:rPr>
                <w:color w:val="FF0000"/>
              </w:rPr>
              <w:t xml:space="preserve">  </w:t>
            </w:r>
          </w:p>
          <w:p w:rsidR="00D07DF3" w:rsidRDefault="00D07DF3" w:rsidP="00D07DF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D07DF3" w:rsidRPr="00677498" w:rsidRDefault="00D07DF3" w:rsidP="00D07DF3">
            <w:pPr>
              <w:autoSpaceDE w:val="0"/>
              <w:autoSpaceDN w:val="0"/>
              <w:adjustRightInd w:val="0"/>
              <w:jc w:val="both"/>
            </w:pPr>
            <w:r w:rsidRPr="00677498">
              <w:t>Prezentul proiect nu implică majorarea cheltuielilor bugetare aprobate.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autoSpaceDE w:val="0"/>
              <w:autoSpaceDN w:val="0"/>
              <w:adjustRightInd w:val="0"/>
              <w:jc w:val="both"/>
            </w:pPr>
            <w:r w:rsidRPr="00551E17">
              <w:rPr>
                <w:b/>
              </w:rPr>
              <w:lastRenderedPageBreak/>
              <w:t>4.8</w:t>
            </w:r>
            <w:r w:rsidRPr="00551E17">
              <w:t xml:space="preserve"> Alte informații 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51E17">
              <w:rPr>
                <w:b/>
              </w:rPr>
              <w:t>Secţiunea</w:t>
            </w:r>
            <w:proofErr w:type="spellEnd"/>
            <w:r w:rsidRPr="00551E17">
              <w:rPr>
                <w:b/>
              </w:rPr>
              <w:t xml:space="preserve"> a 5-a</w:t>
            </w:r>
          </w:p>
          <w:p w:rsidR="00D07DF3" w:rsidRPr="00551E17" w:rsidRDefault="00D07DF3" w:rsidP="00D07DF3">
            <w:pPr>
              <w:jc w:val="center"/>
              <w:rPr>
                <w:b/>
              </w:rPr>
            </w:pPr>
            <w:r w:rsidRPr="00551E17">
              <w:rPr>
                <w:b/>
              </w:rPr>
              <w:t>Efectele proiectului de act normativ asupra legislației în vigoare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5.1</w:t>
            </w:r>
            <w:r w:rsidRPr="00551E17">
              <w:t xml:space="preserve"> Măsuri normative necesare pentru aplicarea prevederilor proiectului de act normativ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  <w:rPr>
                <w:iCs/>
              </w:rPr>
            </w:pPr>
            <w:r w:rsidRPr="00551E17">
              <w:rPr>
                <w:b/>
                <w:iCs/>
              </w:rPr>
              <w:t>5.2</w:t>
            </w:r>
            <w:r w:rsidRPr="00551E17">
              <w:rPr>
                <w:iCs/>
              </w:rPr>
              <w:t xml:space="preserve"> Impactul asupra legislației in domeniul achizițiilor publice</w:t>
            </w:r>
          </w:p>
          <w:p w:rsidR="00D07DF3" w:rsidRPr="00551E17" w:rsidRDefault="00D07DF3" w:rsidP="00D07DF3">
            <w:pPr>
              <w:jc w:val="both"/>
              <w:rPr>
                <w:iCs/>
              </w:rPr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5.3</w:t>
            </w:r>
            <w:r w:rsidRPr="00551E17">
              <w:t xml:space="preserve"> Conformitatea proiectului de act normativ cu legislația UE (în cazul proiectelor ce transpun sau asigură aplicarea unor prevederi de drept UE). </w:t>
            </w:r>
          </w:p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 xml:space="preserve">         5.3.1</w:t>
            </w:r>
            <w:r w:rsidRPr="00551E17">
              <w:t xml:space="preserve"> Măsuri normative necesare transpunerii directivelor UE</w:t>
            </w:r>
          </w:p>
          <w:p w:rsidR="00D07DF3" w:rsidRPr="00551E17" w:rsidRDefault="00D07DF3" w:rsidP="00D07DF3">
            <w:pPr>
              <w:jc w:val="both"/>
            </w:pPr>
            <w:r w:rsidRPr="00551E17">
              <w:t xml:space="preserve">         </w:t>
            </w:r>
            <w:r w:rsidRPr="00551E17">
              <w:rPr>
                <w:b/>
              </w:rPr>
              <w:t>5.3.2</w:t>
            </w:r>
            <w:r w:rsidRPr="00551E17">
              <w:t xml:space="preserve"> Măsuri normative necesare aplicării actelor legislative UE  </w:t>
            </w:r>
          </w:p>
          <w:p w:rsidR="00D07DF3" w:rsidRPr="00551E17" w:rsidRDefault="00D07DF3" w:rsidP="00D07DF3">
            <w:pPr>
              <w:spacing w:line="276" w:lineRule="auto"/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rPr>
          <w:trHeight w:val="31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r w:rsidRPr="00551E17">
              <w:rPr>
                <w:b/>
              </w:rPr>
              <w:t>5.4</w:t>
            </w:r>
            <w:r w:rsidRPr="00551E17">
              <w:t xml:space="preserve"> Hotărâri ale Curții de Justiție a Uniunii Europene </w:t>
            </w:r>
          </w:p>
          <w:p w:rsidR="00D07DF3" w:rsidRPr="00551E17" w:rsidRDefault="00D07DF3" w:rsidP="00D07DF3"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5.5</w:t>
            </w:r>
            <w:r w:rsidRPr="00551E17">
              <w:t xml:space="preserve"> Alte acte normative  şi/sau documente internaționale din care decurg angajamente asumate 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5.6</w:t>
            </w:r>
            <w:r w:rsidRPr="00551E17">
              <w:t>. Alte informații</w:t>
            </w:r>
            <w:r w:rsidRPr="00551E17">
              <w:rPr>
                <w:b/>
              </w:rPr>
              <w:t xml:space="preserve">  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spacing w:line="276" w:lineRule="auto"/>
              <w:rPr>
                <w:b/>
              </w:rPr>
            </w:pPr>
            <w:r w:rsidRPr="00551E17">
              <w:rPr>
                <w:b/>
              </w:rPr>
              <w:t xml:space="preserve">                                                </w:t>
            </w:r>
            <w:proofErr w:type="spellStart"/>
            <w:r w:rsidRPr="00551E17">
              <w:rPr>
                <w:b/>
              </w:rPr>
              <w:t>Secţiunea</w:t>
            </w:r>
            <w:proofErr w:type="spellEnd"/>
            <w:r w:rsidRPr="00551E17">
              <w:rPr>
                <w:b/>
              </w:rPr>
              <w:t xml:space="preserve"> a 6-a</w:t>
            </w:r>
          </w:p>
          <w:p w:rsidR="00D07DF3" w:rsidRPr="00551E17" w:rsidRDefault="00D07DF3" w:rsidP="00D07DF3">
            <w:pPr>
              <w:spacing w:line="276" w:lineRule="auto"/>
              <w:jc w:val="center"/>
              <w:rPr>
                <w:b/>
              </w:rPr>
            </w:pPr>
            <w:r w:rsidRPr="00551E17">
              <w:rPr>
                <w:b/>
              </w:rPr>
              <w:t>Consultările efectuate în vederea elaborării proiectului de act normativ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  <w:rPr>
                <w:bCs/>
              </w:rPr>
            </w:pPr>
            <w:r w:rsidRPr="00551E17">
              <w:rPr>
                <w:b/>
                <w:bCs/>
              </w:rPr>
              <w:t>6.1</w:t>
            </w:r>
            <w:r w:rsidRPr="00551E17">
              <w:rPr>
                <w:bCs/>
              </w:rPr>
              <w:t xml:space="preserve"> Informații privind neaplicarea procedurii de participare la elaborarea actelor normative</w:t>
            </w:r>
          </w:p>
          <w:p w:rsidR="00D07DF3" w:rsidRPr="00551E17" w:rsidRDefault="00D07DF3" w:rsidP="00D07DF3">
            <w:pPr>
              <w:jc w:val="both"/>
              <w:rPr>
                <w:bCs/>
              </w:rPr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  <w:bCs/>
              </w:rPr>
              <w:t>6.2</w:t>
            </w:r>
            <w:r w:rsidRPr="00551E17">
              <w:rPr>
                <w:bCs/>
              </w:rPr>
              <w:t xml:space="preserve"> Informații privind procesul de consultare cu organizații neguvernamentale, institute de cercetare și alte organisme implicate.</w:t>
            </w:r>
            <w:r w:rsidRPr="00551E17">
              <w:t xml:space="preserve"> 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551E17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551E17" w:rsidRDefault="00D07DF3" w:rsidP="00D07DF3">
            <w:pPr>
              <w:jc w:val="both"/>
            </w:pPr>
            <w:r w:rsidRPr="00551E17">
              <w:rPr>
                <w:b/>
              </w:rPr>
              <w:t>6.3</w:t>
            </w:r>
            <w:r w:rsidRPr="00551E17">
              <w:t xml:space="preserve"> Informații despre consultările organizate cu autoritățile administrației publice locale </w:t>
            </w:r>
          </w:p>
          <w:p w:rsidR="00D07DF3" w:rsidRPr="00551E17" w:rsidRDefault="00D07DF3" w:rsidP="00D07DF3">
            <w:pPr>
              <w:jc w:val="both"/>
            </w:pPr>
            <w:r w:rsidRPr="00551E17">
              <w:t>Nu este cazul</w:t>
            </w:r>
          </w:p>
        </w:tc>
      </w:tr>
      <w:tr w:rsidR="00D07DF3" w:rsidRPr="00373A93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t>6.4</w:t>
            </w:r>
            <w:r w:rsidRPr="00373A93">
              <w:rPr>
                <w:sz w:val="23"/>
                <w:szCs w:val="23"/>
              </w:rPr>
              <w:t xml:space="preserve"> Informații privind puncte de vedere/opinii emise de organisme consultative constituite prin acte normative </w:t>
            </w:r>
          </w:p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>Nu este cazul</w:t>
            </w:r>
          </w:p>
        </w:tc>
      </w:tr>
      <w:tr w:rsidR="00D07DF3" w:rsidRPr="00373A93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t>6.5</w:t>
            </w:r>
            <w:r w:rsidRPr="00373A93">
              <w:rPr>
                <w:sz w:val="23"/>
                <w:szCs w:val="23"/>
              </w:rPr>
              <w:t xml:space="preserve"> Informații privind avizarea de către: </w:t>
            </w:r>
          </w:p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 xml:space="preserve">a) Consiliul Legislativ  </w:t>
            </w:r>
          </w:p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 xml:space="preserve">b) Consiliul Suprem de Apărare a Țării </w:t>
            </w:r>
          </w:p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 xml:space="preserve">c) Consiliul Economic și Social  </w:t>
            </w:r>
          </w:p>
          <w:p w:rsidR="00D07DF3" w:rsidRPr="00373A93" w:rsidRDefault="00D07DF3" w:rsidP="00D07DF3">
            <w:pPr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 xml:space="preserve">d) Consiliul Concurenței </w:t>
            </w:r>
          </w:p>
          <w:p w:rsidR="00D07DF3" w:rsidRPr="00373A93" w:rsidRDefault="00D07DF3" w:rsidP="00D07DF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 xml:space="preserve">e) Curtea de Conturi </w:t>
            </w:r>
          </w:p>
        </w:tc>
      </w:tr>
      <w:tr w:rsidR="00D07DF3" w:rsidRPr="00373A93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t>6.6</w:t>
            </w:r>
            <w:r w:rsidRPr="00373A93">
              <w:rPr>
                <w:sz w:val="23"/>
                <w:szCs w:val="23"/>
              </w:rPr>
              <w:t xml:space="preserve"> Alte </w:t>
            </w:r>
            <w:proofErr w:type="spellStart"/>
            <w:r w:rsidRPr="00373A93">
              <w:rPr>
                <w:sz w:val="23"/>
                <w:szCs w:val="23"/>
              </w:rPr>
              <w:t>informaţii</w:t>
            </w:r>
            <w:proofErr w:type="spellEnd"/>
          </w:p>
          <w:p w:rsidR="00D07DF3" w:rsidRPr="00373A93" w:rsidRDefault="00D07DF3" w:rsidP="00D07DF3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>Nu este cazul</w:t>
            </w:r>
          </w:p>
        </w:tc>
      </w:tr>
      <w:tr w:rsidR="00D07DF3" w:rsidRPr="00373A93" w:rsidTr="00D07DF3">
        <w:trPr>
          <w:trHeight w:val="35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373A93">
              <w:rPr>
                <w:b/>
                <w:sz w:val="23"/>
                <w:szCs w:val="23"/>
              </w:rPr>
              <w:t>Secţiunea</w:t>
            </w:r>
            <w:proofErr w:type="spellEnd"/>
            <w:r w:rsidRPr="00373A93">
              <w:rPr>
                <w:b/>
                <w:sz w:val="23"/>
                <w:szCs w:val="23"/>
              </w:rPr>
              <w:t xml:space="preserve"> a 7-a</w:t>
            </w:r>
          </w:p>
          <w:p w:rsidR="00D07DF3" w:rsidRPr="00373A93" w:rsidRDefault="00D07DF3" w:rsidP="00D07DF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373A93">
              <w:rPr>
                <w:b/>
                <w:sz w:val="23"/>
                <w:szCs w:val="23"/>
              </w:rPr>
              <w:t>Activităţi</w:t>
            </w:r>
            <w:proofErr w:type="spellEnd"/>
            <w:r w:rsidRPr="00373A93">
              <w:rPr>
                <w:b/>
                <w:sz w:val="23"/>
                <w:szCs w:val="23"/>
              </w:rPr>
              <w:t xml:space="preserve"> de informare publică privind elaborarea şi implementarea proiectului de act normativ</w:t>
            </w:r>
          </w:p>
        </w:tc>
      </w:tr>
      <w:tr w:rsidR="00D07DF3" w:rsidRPr="00373A93" w:rsidTr="00D07DF3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t>7.1</w:t>
            </w:r>
            <w:r w:rsidRPr="00373A93">
              <w:rPr>
                <w:sz w:val="23"/>
                <w:szCs w:val="23"/>
              </w:rPr>
              <w:t xml:space="preserve"> Informarea societății civile cu privire la elaborarea proiectului de act normativ</w:t>
            </w:r>
          </w:p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 xml:space="preserve">Prezentul act normativ a respectat prevederile Legii nr. 52/2003 privind </w:t>
            </w:r>
            <w:proofErr w:type="spellStart"/>
            <w:r w:rsidRPr="00373A93">
              <w:rPr>
                <w:sz w:val="23"/>
                <w:szCs w:val="23"/>
              </w:rPr>
              <w:t>transparenţa</w:t>
            </w:r>
            <w:proofErr w:type="spellEnd"/>
            <w:r w:rsidRPr="00373A93">
              <w:rPr>
                <w:sz w:val="23"/>
                <w:szCs w:val="23"/>
              </w:rPr>
              <w:t xml:space="preserve"> decizională în </w:t>
            </w:r>
            <w:proofErr w:type="spellStart"/>
            <w:r w:rsidRPr="00373A93">
              <w:rPr>
                <w:sz w:val="23"/>
                <w:szCs w:val="23"/>
              </w:rPr>
              <w:t>administraţia</w:t>
            </w:r>
            <w:proofErr w:type="spellEnd"/>
            <w:r w:rsidRPr="00373A93">
              <w:rPr>
                <w:sz w:val="23"/>
                <w:szCs w:val="23"/>
              </w:rPr>
              <w:t xml:space="preserve"> publică.</w:t>
            </w:r>
          </w:p>
        </w:tc>
      </w:tr>
      <w:tr w:rsidR="00D07DF3" w:rsidRPr="00373A93" w:rsidTr="00D07DF3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t>7.2</w:t>
            </w:r>
            <w:r w:rsidRPr="00373A93">
              <w:rPr>
                <w:sz w:val="23"/>
                <w:szCs w:val="23"/>
              </w:rPr>
              <w:t xml:space="preserve"> Informarea societății civile cu privire la eventualul impact asupra mediului în urma implementării proiectului de act normativ, precum şi efectele asupra sănătății și securității cetățenilor sau diversității biologice.</w:t>
            </w:r>
          </w:p>
          <w:p w:rsidR="00D07DF3" w:rsidRPr="00373A93" w:rsidRDefault="00D07DF3" w:rsidP="00D07DF3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>Nu este cazul</w:t>
            </w:r>
          </w:p>
        </w:tc>
      </w:tr>
      <w:tr w:rsidR="00D07DF3" w:rsidRPr="00373A93" w:rsidTr="00D07DF3">
        <w:trPr>
          <w:trHeight w:val="63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373A93">
              <w:rPr>
                <w:b/>
                <w:sz w:val="23"/>
                <w:szCs w:val="23"/>
              </w:rPr>
              <w:t>Secţiunea</w:t>
            </w:r>
            <w:proofErr w:type="spellEnd"/>
            <w:r w:rsidRPr="00373A93">
              <w:rPr>
                <w:b/>
                <w:sz w:val="23"/>
                <w:szCs w:val="23"/>
              </w:rPr>
              <w:t xml:space="preserve"> a 8-a</w:t>
            </w:r>
          </w:p>
          <w:p w:rsidR="00D07DF3" w:rsidRPr="00373A93" w:rsidRDefault="00D07DF3" w:rsidP="00D07DF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373A93">
              <w:rPr>
                <w:b/>
                <w:bCs/>
                <w:sz w:val="23"/>
                <w:szCs w:val="23"/>
              </w:rPr>
              <w:t xml:space="preserve">Măsuri </w:t>
            </w:r>
            <w:r w:rsidRPr="00373A93">
              <w:rPr>
                <w:b/>
                <w:sz w:val="23"/>
                <w:szCs w:val="23"/>
              </w:rPr>
              <w:t>privind implementarea, monitorizarea și evaluarea proiectului de act normativ</w:t>
            </w:r>
          </w:p>
        </w:tc>
      </w:tr>
      <w:tr w:rsidR="00D07DF3" w:rsidRPr="00373A93" w:rsidTr="00D07DF3">
        <w:trPr>
          <w:trHeight w:val="639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lastRenderedPageBreak/>
              <w:t xml:space="preserve">8.1 </w:t>
            </w:r>
            <w:r w:rsidRPr="00373A93">
              <w:rPr>
                <w:sz w:val="23"/>
                <w:szCs w:val="23"/>
              </w:rPr>
              <w:t>Măsurile de punere în aplicare a proiectului de act normativ</w:t>
            </w:r>
          </w:p>
        </w:tc>
        <w:tc>
          <w:tcPr>
            <w:tcW w:w="5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D07DF3" w:rsidRPr="00373A93" w:rsidTr="00D07DF3">
        <w:trPr>
          <w:trHeight w:val="639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b/>
                <w:sz w:val="23"/>
                <w:szCs w:val="23"/>
              </w:rPr>
              <w:t xml:space="preserve">8.2 Alte </w:t>
            </w:r>
            <w:proofErr w:type="spellStart"/>
            <w:r w:rsidRPr="00373A93">
              <w:rPr>
                <w:b/>
                <w:sz w:val="23"/>
                <w:szCs w:val="23"/>
              </w:rPr>
              <w:t>informaţii</w:t>
            </w:r>
            <w:proofErr w:type="spellEnd"/>
            <w:r w:rsidRPr="00373A9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5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F3" w:rsidRPr="00373A93" w:rsidRDefault="00D07DF3" w:rsidP="00D07DF3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373A93">
              <w:rPr>
                <w:sz w:val="23"/>
                <w:szCs w:val="23"/>
              </w:rPr>
              <w:t>Nu este cazul</w:t>
            </w:r>
          </w:p>
        </w:tc>
      </w:tr>
    </w:tbl>
    <w:p w:rsidR="00D07DF3" w:rsidRPr="00373A93" w:rsidRDefault="00D07DF3" w:rsidP="00D07DF3">
      <w:pPr>
        <w:spacing w:line="276" w:lineRule="auto"/>
        <w:jc w:val="both"/>
        <w:rPr>
          <w:sz w:val="23"/>
          <w:szCs w:val="23"/>
        </w:rPr>
      </w:pPr>
    </w:p>
    <w:p w:rsidR="00D07DF3" w:rsidRPr="00373A93" w:rsidRDefault="00D07DF3" w:rsidP="00D07DF3">
      <w:pPr>
        <w:spacing w:line="276" w:lineRule="auto"/>
        <w:jc w:val="both"/>
        <w:rPr>
          <w:vanish/>
          <w:sz w:val="23"/>
          <w:szCs w:val="23"/>
        </w:rPr>
      </w:pPr>
    </w:p>
    <w:p w:rsidR="00D07DF3" w:rsidRPr="00373A93" w:rsidRDefault="00D07DF3" w:rsidP="00D07DF3">
      <w:pPr>
        <w:pStyle w:val="BodyText"/>
        <w:ind w:firstLine="720"/>
        <w:jc w:val="both"/>
        <w:rPr>
          <w:sz w:val="23"/>
          <w:szCs w:val="23"/>
          <w:lang w:val="ro-RO"/>
        </w:rPr>
      </w:pPr>
      <w:r w:rsidRPr="00373A93">
        <w:rPr>
          <w:sz w:val="23"/>
          <w:szCs w:val="23"/>
          <w:lang w:val="ro-RO"/>
        </w:rPr>
        <w:t xml:space="preserve">Față de cele prezentate, a fost elaborat prezentul proiect de </w:t>
      </w:r>
      <w:r w:rsidRPr="003F2C7B">
        <w:rPr>
          <w:b/>
          <w:sz w:val="23"/>
          <w:szCs w:val="23"/>
          <w:lang w:val="ro-RO"/>
        </w:rPr>
        <w:t>Hotărâre pentru modificarea</w:t>
      </w:r>
      <w:r w:rsidRPr="003F2C7B">
        <w:rPr>
          <w:rFonts w:eastAsia="Calibri"/>
          <w:b/>
          <w:sz w:val="23"/>
          <w:szCs w:val="23"/>
          <w:lang w:val="ro-RO"/>
        </w:rPr>
        <w:t xml:space="preserve"> </w:t>
      </w:r>
      <w:r w:rsidRPr="003F2C7B">
        <w:rPr>
          <w:b/>
          <w:sz w:val="23"/>
          <w:szCs w:val="23"/>
        </w:rPr>
        <w:t>Anexei nr. 2 la</w:t>
      </w:r>
      <w:r w:rsidRPr="003F2C7B">
        <w:rPr>
          <w:b/>
          <w:sz w:val="23"/>
          <w:szCs w:val="23"/>
          <w:lang w:val="ro-RO"/>
        </w:rPr>
        <w:t xml:space="preserve"> </w:t>
      </w:r>
      <w:r w:rsidRPr="003F2C7B">
        <w:rPr>
          <w:b/>
          <w:sz w:val="23"/>
          <w:szCs w:val="23"/>
        </w:rPr>
        <w:t>Hotărârea Guvernului nr. 144/2010 privind organizarea şi funcționarea Ministerului Sănătății</w:t>
      </w:r>
      <w:r w:rsidRPr="00373A93">
        <w:rPr>
          <w:sz w:val="23"/>
          <w:szCs w:val="23"/>
          <w:lang w:val="ro-RO"/>
        </w:rPr>
        <w:t>, pe care îl supunem</w:t>
      </w:r>
      <w:r w:rsidR="00226ED9">
        <w:rPr>
          <w:sz w:val="23"/>
          <w:szCs w:val="23"/>
          <w:lang w:val="ro-RO"/>
        </w:rPr>
        <w:t xml:space="preserve"> spre adoptare</w:t>
      </w:r>
      <w:r>
        <w:rPr>
          <w:sz w:val="23"/>
          <w:szCs w:val="23"/>
          <w:lang w:val="ro-RO"/>
        </w:rPr>
        <w:t xml:space="preserve"> </w:t>
      </w:r>
      <w:r w:rsidRPr="003F2C7B">
        <w:rPr>
          <w:sz w:val="23"/>
          <w:szCs w:val="23"/>
          <w:lang w:val="ro-RO"/>
        </w:rPr>
        <w:t>Guvernului</w:t>
      </w:r>
      <w:r w:rsidRPr="00373A93">
        <w:rPr>
          <w:sz w:val="23"/>
          <w:szCs w:val="23"/>
          <w:lang w:val="ro-RO"/>
        </w:rPr>
        <w:t>.</w:t>
      </w:r>
    </w:p>
    <w:p w:rsidR="00D07DF3" w:rsidRPr="00551E17" w:rsidRDefault="00D07DF3" w:rsidP="00D07DF3">
      <w:pPr>
        <w:pStyle w:val="BodyText"/>
        <w:rPr>
          <w:b/>
          <w:lang w:val="ro-RO"/>
        </w:rPr>
      </w:pPr>
    </w:p>
    <w:p w:rsidR="00D07DF3" w:rsidRPr="00551E17" w:rsidRDefault="00D07DF3" w:rsidP="00D07DF3">
      <w:pPr>
        <w:pStyle w:val="BodyText"/>
        <w:jc w:val="center"/>
        <w:rPr>
          <w:b/>
          <w:lang w:val="ro-RO"/>
        </w:rPr>
      </w:pPr>
      <w:r w:rsidRPr="00551E17">
        <w:rPr>
          <w:b/>
          <w:lang w:val="ro-RO"/>
        </w:rPr>
        <w:t>MINISTRUL SĂNĂTĂŢII,</w:t>
      </w:r>
    </w:p>
    <w:p w:rsidR="00D07DF3" w:rsidRPr="00551E17" w:rsidRDefault="00D07DF3" w:rsidP="00D07DF3">
      <w:pPr>
        <w:jc w:val="center"/>
      </w:pPr>
      <w:r w:rsidRPr="00551E17">
        <w:rPr>
          <w:b/>
        </w:rPr>
        <w:t xml:space="preserve">       PROF. UNIV. DR. ALEXANDRU RAFILA</w:t>
      </w:r>
    </w:p>
    <w:p w:rsidR="00D07DF3" w:rsidRPr="00551E17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jc w:val="center"/>
        <w:rPr>
          <w:b/>
          <w:u w:val="single"/>
          <w:lang w:val="ro-RO"/>
        </w:rPr>
      </w:pPr>
    </w:p>
    <w:p w:rsidR="00D07DF3" w:rsidRDefault="00D07DF3" w:rsidP="00D07DF3">
      <w:pPr>
        <w:pStyle w:val="BodyText"/>
        <w:jc w:val="center"/>
        <w:rPr>
          <w:b/>
          <w:u w:val="single"/>
          <w:lang w:val="ro-RO"/>
        </w:rPr>
      </w:pPr>
    </w:p>
    <w:p w:rsidR="00D07DF3" w:rsidRDefault="00D07DF3" w:rsidP="00D07DF3">
      <w:pPr>
        <w:pStyle w:val="BodyText"/>
        <w:jc w:val="center"/>
        <w:rPr>
          <w:b/>
          <w:u w:val="single"/>
          <w:lang w:val="ro-RO"/>
        </w:rPr>
      </w:pPr>
      <w:r w:rsidRPr="00551E17">
        <w:rPr>
          <w:b/>
          <w:u w:val="single"/>
          <w:lang w:val="ro-RO"/>
        </w:rPr>
        <w:t>AVIZAT</w:t>
      </w:r>
    </w:p>
    <w:p w:rsidR="00D07DF3" w:rsidRPr="00551E17" w:rsidRDefault="00D07DF3" w:rsidP="00D07DF3">
      <w:pPr>
        <w:pStyle w:val="BodyText"/>
        <w:jc w:val="center"/>
        <w:rPr>
          <w:b/>
          <w:lang w:val="ro-RO"/>
        </w:rPr>
      </w:pPr>
      <w:r w:rsidRPr="00551E17">
        <w:rPr>
          <w:b/>
          <w:lang w:val="ro-RO"/>
        </w:rPr>
        <w:t>VICEPRIM-MINISTRU,</w:t>
      </w:r>
    </w:p>
    <w:p w:rsidR="00D07DF3" w:rsidRPr="00551E17" w:rsidRDefault="00D07DF3" w:rsidP="00D07DF3">
      <w:pPr>
        <w:pStyle w:val="BodyText"/>
        <w:jc w:val="center"/>
        <w:rPr>
          <w:b/>
          <w:lang w:val="ro-RO"/>
        </w:rPr>
      </w:pPr>
      <w:r w:rsidRPr="00551E17">
        <w:rPr>
          <w:b/>
          <w:lang w:val="ro-RO"/>
        </w:rPr>
        <w:t>MARIAN NEACȘU</w:t>
      </w:r>
    </w:p>
    <w:p w:rsidR="00D07DF3" w:rsidRDefault="00D07DF3" w:rsidP="00D07DF3">
      <w:pPr>
        <w:pStyle w:val="BodyText"/>
        <w:jc w:val="center"/>
        <w:rPr>
          <w:b/>
          <w:lang w:val="ro-RO"/>
        </w:rPr>
      </w:pPr>
    </w:p>
    <w:p w:rsidR="00D07DF3" w:rsidRPr="00551E17" w:rsidRDefault="00D07DF3" w:rsidP="00D07DF3">
      <w:pPr>
        <w:pStyle w:val="BodyText"/>
        <w:jc w:val="center"/>
        <w:rPr>
          <w:b/>
          <w:lang w:val="ro-RO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5307"/>
        <w:gridCol w:w="4233"/>
      </w:tblGrid>
      <w:tr w:rsidR="00D07DF3" w:rsidRPr="00551E17" w:rsidTr="00D16250">
        <w:trPr>
          <w:trHeight w:val="665"/>
        </w:trPr>
        <w:tc>
          <w:tcPr>
            <w:tcW w:w="5307" w:type="dxa"/>
            <w:shd w:val="clear" w:color="auto" w:fill="auto"/>
          </w:tcPr>
          <w:p w:rsidR="00D07DF3" w:rsidRDefault="00D14FB8" w:rsidP="00D14F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C003C">
              <w:rPr>
                <w:rFonts w:eastAsia="Calibri"/>
                <w:b/>
                <w:bCs/>
              </w:rPr>
              <w:t>VICEPRIM-MINISTRU,</w:t>
            </w:r>
            <w:r>
              <w:rPr>
                <w:rFonts w:eastAsia="Calibri"/>
                <w:b/>
                <w:bCs/>
              </w:rPr>
              <w:t xml:space="preserve">                               </w:t>
            </w:r>
            <w:r w:rsidRPr="00551E17">
              <w:rPr>
                <w:rFonts w:eastAsia="Calibri"/>
                <w:b/>
                <w:bCs/>
              </w:rPr>
              <w:t xml:space="preserve">MINISTRUL FINANȚELOR </w:t>
            </w:r>
          </w:p>
          <w:p w:rsidR="00D14FB8" w:rsidRDefault="00D14FB8" w:rsidP="00D14F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  <w:p w:rsidR="00D07DF3" w:rsidRPr="00551E17" w:rsidRDefault="00D07DF3" w:rsidP="00D07DF3">
            <w:pPr>
              <w:jc w:val="center"/>
              <w:outlineLvl w:val="0"/>
              <w:rPr>
                <w:rFonts w:eastAsia="Calibri"/>
                <w:b/>
              </w:rPr>
            </w:pPr>
            <w:r w:rsidRPr="004C003C">
              <w:rPr>
                <w:rFonts w:eastAsia="Calibri"/>
                <w:b/>
                <w:bCs/>
              </w:rPr>
              <w:t>TÁNCZOS BARNA</w:t>
            </w:r>
          </w:p>
        </w:tc>
        <w:tc>
          <w:tcPr>
            <w:tcW w:w="4233" w:type="dxa"/>
            <w:shd w:val="clear" w:color="auto" w:fill="auto"/>
          </w:tcPr>
          <w:p w:rsidR="00D07DF3" w:rsidRDefault="00D14FB8" w:rsidP="00D07DF3">
            <w:pPr>
              <w:pStyle w:val="BodyText"/>
              <w:jc w:val="center"/>
              <w:rPr>
                <w:b/>
                <w:lang w:val="ro-RO"/>
              </w:rPr>
            </w:pPr>
            <w:r w:rsidRPr="00551E17">
              <w:rPr>
                <w:b/>
                <w:lang w:val="ro-RO"/>
              </w:rPr>
              <w:t>MINISTRUL JUSTIȚIEI,</w:t>
            </w:r>
          </w:p>
          <w:p w:rsidR="00D16250" w:rsidRPr="00551E17" w:rsidRDefault="00D16250" w:rsidP="00D07DF3">
            <w:pPr>
              <w:pStyle w:val="BodyText"/>
              <w:jc w:val="center"/>
              <w:rPr>
                <w:b/>
                <w:lang w:val="ro-RO"/>
              </w:rPr>
            </w:pPr>
          </w:p>
          <w:p w:rsidR="00D07DF3" w:rsidRPr="00551E17" w:rsidRDefault="00D16250" w:rsidP="00D07DF3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  <w:bCs/>
                <w:lang w:val="ro-RO"/>
              </w:rPr>
              <w:t>RADU MARINESCU</w:t>
            </w:r>
          </w:p>
          <w:p w:rsidR="00D07DF3" w:rsidRPr="00551E17" w:rsidRDefault="00D07DF3" w:rsidP="00D07D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pStyle w:val="BodyText"/>
        <w:rPr>
          <w:b/>
          <w:lang w:val="ro-RO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Default="00D07DF3" w:rsidP="00D07DF3">
      <w:pPr>
        <w:jc w:val="center"/>
        <w:rPr>
          <w:b/>
          <w:lang w:val="es-ES_tradnl"/>
        </w:rPr>
      </w:pPr>
    </w:p>
    <w:p w:rsidR="00D07DF3" w:rsidRPr="00546D26" w:rsidRDefault="00D07DF3" w:rsidP="00D07DF3">
      <w:pPr>
        <w:jc w:val="center"/>
        <w:rPr>
          <w:b/>
          <w:lang w:val="es-ES_tradnl"/>
        </w:rPr>
      </w:pPr>
      <w:r w:rsidRPr="00546D26">
        <w:rPr>
          <w:b/>
          <w:lang w:val="es-ES_tradnl"/>
        </w:rPr>
        <w:lastRenderedPageBreak/>
        <w:t>FIȘĂ DE AVIZARE INTERNĂ</w:t>
      </w:r>
    </w:p>
    <w:p w:rsidR="00D07DF3" w:rsidRDefault="00D07DF3" w:rsidP="00D07DF3">
      <w:pPr>
        <w:spacing w:line="276" w:lineRule="auto"/>
        <w:jc w:val="center"/>
        <w:rPr>
          <w:b/>
        </w:rPr>
      </w:pPr>
    </w:p>
    <w:p w:rsidR="00D07DF3" w:rsidRDefault="00D07DF3" w:rsidP="00D07DF3">
      <w:pPr>
        <w:spacing w:line="276" w:lineRule="auto"/>
        <w:jc w:val="center"/>
        <w:rPr>
          <w:rFonts w:eastAsia="Calibri"/>
          <w:b/>
        </w:rPr>
      </w:pPr>
      <w:r>
        <w:rPr>
          <w:b/>
        </w:rPr>
        <w:t xml:space="preserve">Titlul proiectului de act normativ: </w:t>
      </w:r>
      <w:r>
        <w:rPr>
          <w:b/>
          <w:bCs/>
        </w:rPr>
        <w:t xml:space="preserve">Proiect de Hotărâre de Guvern pentru </w:t>
      </w:r>
      <w:r w:rsidRPr="00DA04A0">
        <w:rPr>
          <w:rFonts w:eastAsia="Calibri"/>
          <w:b/>
        </w:rPr>
        <w:t>modificarea Anexei nr. 2</w:t>
      </w:r>
      <w:r>
        <w:rPr>
          <w:rFonts w:eastAsia="Calibri"/>
          <w:b/>
        </w:rPr>
        <w:t xml:space="preserve"> </w:t>
      </w:r>
      <w:r w:rsidRPr="00DA04A0">
        <w:rPr>
          <w:rFonts w:eastAsia="Calibri"/>
          <w:b/>
        </w:rPr>
        <w:t>la</w:t>
      </w:r>
      <w:r>
        <w:rPr>
          <w:rFonts w:eastAsia="Calibri"/>
          <w:b/>
        </w:rPr>
        <w:t xml:space="preserve"> </w:t>
      </w:r>
      <w:r w:rsidRPr="00DA04A0">
        <w:rPr>
          <w:rFonts w:eastAsia="Calibri"/>
          <w:b/>
        </w:rPr>
        <w:t>Hotărârea Guvernului nr. 144/2010 privind organizarea şi funcționarea Ministerului Sănătății</w:t>
      </w:r>
    </w:p>
    <w:p w:rsidR="00D07DF3" w:rsidRDefault="00D07DF3" w:rsidP="00D07DF3">
      <w:pPr>
        <w:spacing w:line="276" w:lineRule="auto"/>
        <w:jc w:val="center"/>
        <w:rPr>
          <w:rFonts w:eastAsia="Calibri"/>
          <w:b/>
        </w:rPr>
      </w:pPr>
    </w:p>
    <w:p w:rsidR="00D07DF3" w:rsidRDefault="00D07DF3" w:rsidP="00D07DF3">
      <w:pPr>
        <w:spacing w:line="276" w:lineRule="auto"/>
        <w:jc w:val="center"/>
        <w:rPr>
          <w:rFonts w:eastAsia="Calibri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822"/>
        <w:gridCol w:w="1717"/>
        <w:gridCol w:w="2273"/>
      </w:tblGrid>
      <w:tr w:rsidR="00D07DF3" w:rsidRPr="00625EAF" w:rsidTr="00D07DF3">
        <w:trPr>
          <w:trHeight w:val="844"/>
        </w:trPr>
        <w:tc>
          <w:tcPr>
            <w:tcW w:w="3969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  <w:lang w:val="it-IT"/>
              </w:rPr>
            </w:pP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EAF">
              <w:rPr>
                <w:b/>
              </w:rPr>
              <w:t>STRUCTURA</w:t>
            </w: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EAF">
              <w:rPr>
                <w:b/>
              </w:rPr>
              <w:t>DATA SOLICITĂRII AVIZULUI</w:t>
            </w: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EAF">
              <w:rPr>
                <w:b/>
              </w:rPr>
              <w:t xml:space="preserve">DATA OBȚINERII AVIZULUI </w:t>
            </w: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EAF">
              <w:rPr>
                <w:b/>
              </w:rPr>
              <w:t>SEMNĂTURA</w:t>
            </w:r>
          </w:p>
        </w:tc>
      </w:tr>
      <w:tr w:rsidR="00D07DF3" w:rsidRPr="00625EAF" w:rsidTr="00D07DF3">
        <w:trPr>
          <w:trHeight w:val="552"/>
        </w:trPr>
        <w:tc>
          <w:tcPr>
            <w:tcW w:w="3969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rPr>
                <w:b/>
              </w:rPr>
            </w:pPr>
            <w:r w:rsidRPr="00625EAF">
              <w:rPr>
                <w:b/>
              </w:rPr>
              <w:t>STRUCTURA INIȚIATOARE</w:t>
            </w: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07DF3" w:rsidRPr="00625EAF" w:rsidTr="00D07DF3">
        <w:trPr>
          <w:trHeight w:val="552"/>
        </w:trPr>
        <w:tc>
          <w:tcPr>
            <w:tcW w:w="3969" w:type="dxa"/>
          </w:tcPr>
          <w:p w:rsidR="00D07DF3" w:rsidRDefault="00D07DF3" w:rsidP="00D07DF3">
            <w:pPr>
              <w:keepNext/>
              <w:outlineLvl w:val="0"/>
            </w:pPr>
            <w:r>
              <w:t>Direcția generală asistență medicală și sănătate publică</w:t>
            </w:r>
          </w:p>
          <w:p w:rsidR="00D07DF3" w:rsidRDefault="00D07DF3" w:rsidP="00D07DF3">
            <w:pPr>
              <w:keepNext/>
              <w:outlineLvl w:val="0"/>
            </w:pPr>
            <w:r>
              <w:t>Director general Amalia Șerban</w:t>
            </w:r>
          </w:p>
          <w:p w:rsidR="00D07DF3" w:rsidRDefault="00D07DF3" w:rsidP="00D07DF3">
            <w:pPr>
              <w:keepNext/>
              <w:outlineLvl w:val="0"/>
            </w:pPr>
          </w:p>
          <w:p w:rsidR="00D07DF3" w:rsidRDefault="00D07DF3" w:rsidP="00D07DF3">
            <w:pPr>
              <w:keepNext/>
              <w:outlineLvl w:val="0"/>
            </w:pPr>
            <w:r>
              <w:t>Serviciul de asistență medicală și planificare strategică</w:t>
            </w:r>
          </w:p>
          <w:p w:rsidR="00D07DF3" w:rsidRDefault="00D07DF3" w:rsidP="00D07DF3">
            <w:pPr>
              <w:autoSpaceDE w:val="0"/>
              <w:autoSpaceDN w:val="0"/>
              <w:adjustRightInd w:val="0"/>
              <w:jc w:val="both"/>
            </w:pPr>
            <w:r>
              <w:t>Director general adjunct Costin Iliuță</w:t>
            </w:r>
          </w:p>
          <w:p w:rsidR="002F5E33" w:rsidRPr="00625EAF" w:rsidRDefault="002F5E3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07DF3" w:rsidRPr="00625EAF" w:rsidTr="00D07DF3">
        <w:trPr>
          <w:trHeight w:val="552"/>
        </w:trPr>
        <w:tc>
          <w:tcPr>
            <w:tcW w:w="3969" w:type="dxa"/>
          </w:tcPr>
          <w:p w:rsidR="00D16250" w:rsidRPr="00625EAF" w:rsidRDefault="00D16250" w:rsidP="00D162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STRUCTURI</w:t>
            </w:r>
            <w:r w:rsidRPr="00625EAF">
              <w:rPr>
                <w:b/>
              </w:rPr>
              <w:t xml:space="preserve"> AVIZATOARE</w:t>
            </w: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07DF3" w:rsidRPr="00625EAF" w:rsidTr="00D07DF3">
        <w:trPr>
          <w:trHeight w:val="552"/>
        </w:trPr>
        <w:tc>
          <w:tcPr>
            <w:tcW w:w="3969" w:type="dxa"/>
          </w:tcPr>
          <w:p w:rsidR="00D07DF3" w:rsidRDefault="00D07DF3" w:rsidP="00D07DF3">
            <w:pPr>
              <w:keepNext/>
              <w:outlineLvl w:val="0"/>
            </w:pPr>
            <w:r>
              <w:t>Direcția managementul resurselor umane și structuri sanitare</w:t>
            </w:r>
          </w:p>
          <w:p w:rsidR="00D07DF3" w:rsidRDefault="00D07DF3" w:rsidP="00D07DF3">
            <w:pPr>
              <w:keepNext/>
              <w:outlineLvl w:val="0"/>
            </w:pPr>
            <w:r>
              <w:t xml:space="preserve">Director Alina Gabriela </w:t>
            </w:r>
            <w:proofErr w:type="spellStart"/>
            <w:r>
              <w:t>Carabulea</w:t>
            </w:r>
            <w:proofErr w:type="spellEnd"/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07DF3" w:rsidRPr="00625EAF" w:rsidTr="00D07DF3">
        <w:trPr>
          <w:trHeight w:val="552"/>
        </w:trPr>
        <w:tc>
          <w:tcPr>
            <w:tcW w:w="3969" w:type="dxa"/>
          </w:tcPr>
          <w:p w:rsidR="00D07DF3" w:rsidRDefault="00D07DF3" w:rsidP="00D07DF3">
            <w:pPr>
              <w:keepNext/>
              <w:outlineLvl w:val="0"/>
            </w:pPr>
            <w:r>
              <w:t>Direcția generală economică</w:t>
            </w:r>
          </w:p>
          <w:p w:rsidR="00D07DF3" w:rsidRDefault="00D07DF3" w:rsidP="00D07DF3">
            <w:pPr>
              <w:keepNext/>
              <w:outlineLvl w:val="0"/>
            </w:pPr>
            <w:r>
              <w:t>Director general Georgeta Bumbac</w:t>
            </w: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07DF3" w:rsidRPr="00625EAF" w:rsidTr="00D07DF3">
        <w:trPr>
          <w:trHeight w:val="1979"/>
        </w:trPr>
        <w:tc>
          <w:tcPr>
            <w:tcW w:w="3969" w:type="dxa"/>
          </w:tcPr>
          <w:p w:rsidR="00D07DF3" w:rsidRDefault="00D07DF3" w:rsidP="00D07DF3">
            <w:pPr>
              <w:keepNext/>
              <w:outlineLvl w:val="0"/>
            </w:pPr>
            <w:r>
              <w:t>Direcția generală juridică</w:t>
            </w:r>
          </w:p>
          <w:p w:rsidR="00D07DF3" w:rsidRDefault="00D07DF3" w:rsidP="00D07DF3">
            <w:pPr>
              <w:keepNext/>
              <w:outlineLvl w:val="0"/>
            </w:pPr>
            <w:r>
              <w:t xml:space="preserve">Director general Ionuț Sebastian </w:t>
            </w:r>
            <w:proofErr w:type="spellStart"/>
            <w:r>
              <w:t>Iavor</w:t>
            </w:r>
            <w:proofErr w:type="spellEnd"/>
            <w:r>
              <w:t xml:space="preserve"> </w:t>
            </w:r>
          </w:p>
          <w:p w:rsidR="00D07DF3" w:rsidRDefault="00D07DF3" w:rsidP="00D07DF3">
            <w:pPr>
              <w:keepNext/>
              <w:outlineLvl w:val="0"/>
            </w:pPr>
          </w:p>
          <w:p w:rsidR="00D07DF3" w:rsidRDefault="00D07DF3" w:rsidP="00D07DF3">
            <w:pPr>
              <w:keepNext/>
              <w:outlineLvl w:val="0"/>
            </w:pPr>
          </w:p>
          <w:p w:rsidR="00D07DF3" w:rsidRDefault="00D07DF3" w:rsidP="00D07DF3">
            <w:pPr>
              <w:keepNext/>
              <w:outlineLvl w:val="0"/>
            </w:pPr>
            <w:r>
              <w:t>Serviciul avizare acte normative</w:t>
            </w: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rPr>
                <w:b/>
                <w:lang w:val="fr-FR"/>
              </w:rPr>
            </w:pPr>
            <w:r>
              <w:t>Șef serviciu Dana Constanța Eftimie</w:t>
            </w:r>
            <w:r w:rsidRPr="00625EAF">
              <w:rPr>
                <w:b/>
                <w:lang w:val="fr-FR"/>
              </w:rPr>
              <w:t xml:space="preserve"> </w:t>
            </w: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</w:tr>
      <w:tr w:rsidR="00D07DF3" w:rsidRPr="00625EAF" w:rsidTr="00D07DF3">
        <w:trPr>
          <w:trHeight w:val="764"/>
        </w:trPr>
        <w:tc>
          <w:tcPr>
            <w:tcW w:w="3969" w:type="dxa"/>
          </w:tcPr>
          <w:p w:rsidR="00D07DF3" w:rsidRDefault="00D07DF3" w:rsidP="00D07DF3">
            <w:pPr>
              <w:keepNext/>
              <w:outlineLvl w:val="0"/>
            </w:pPr>
            <w:r>
              <w:t>Secretar de stat</w:t>
            </w:r>
          </w:p>
          <w:p w:rsidR="00D07DF3" w:rsidRPr="00625EAF" w:rsidRDefault="00D07DF3" w:rsidP="00D07DF3">
            <w:pPr>
              <w:autoSpaceDE w:val="0"/>
              <w:autoSpaceDN w:val="0"/>
              <w:adjustRightInd w:val="0"/>
              <w:rPr>
                <w:b/>
              </w:rPr>
            </w:pPr>
            <w:r>
              <w:t>Prof. univ. dr. Adriana Pistol</w:t>
            </w: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</w:tr>
      <w:tr w:rsidR="00D07DF3" w:rsidRPr="00625EAF" w:rsidTr="00D07DF3">
        <w:trPr>
          <w:trHeight w:val="846"/>
        </w:trPr>
        <w:tc>
          <w:tcPr>
            <w:tcW w:w="3969" w:type="dxa"/>
          </w:tcPr>
          <w:p w:rsidR="00D07DF3" w:rsidRDefault="00D07DF3" w:rsidP="00D07DF3">
            <w:pPr>
              <w:keepNext/>
              <w:outlineLvl w:val="0"/>
            </w:pPr>
            <w:r>
              <w:t>Secretar general adjunct</w:t>
            </w:r>
          </w:p>
          <w:p w:rsidR="00D07DF3" w:rsidRPr="00625EAF" w:rsidRDefault="00FF026E" w:rsidP="00D07DF3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t>Dănuț</w:t>
            </w:r>
            <w:r w:rsidR="00D07DF3">
              <w:t xml:space="preserve"> Cristian Popa</w:t>
            </w:r>
            <w:r w:rsidR="00D07DF3" w:rsidRPr="00625EAF">
              <w:rPr>
                <w:lang w:val="en-US"/>
              </w:rPr>
              <w:t xml:space="preserve"> </w:t>
            </w:r>
            <w:r w:rsidR="00D07DF3" w:rsidRPr="00625EA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7" o:title=""/>
                </v:shape>
                <w:control r:id="rId8" w:name="DefaultOcxName2" w:shapeid="_x0000_i1028"/>
              </w:object>
            </w:r>
          </w:p>
        </w:tc>
        <w:tc>
          <w:tcPr>
            <w:tcW w:w="1822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7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3" w:type="dxa"/>
          </w:tcPr>
          <w:p w:rsidR="00D07DF3" w:rsidRPr="00625EAF" w:rsidRDefault="00D07DF3" w:rsidP="00D07DF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07DF3" w:rsidRDefault="00D07DF3" w:rsidP="00D07DF3">
      <w:pPr>
        <w:jc w:val="both"/>
        <w:rPr>
          <w:bCs/>
        </w:rPr>
      </w:pPr>
    </w:p>
    <w:p w:rsidR="00D07DF3" w:rsidRPr="002A7202" w:rsidRDefault="00D07DF3"/>
    <w:sectPr w:rsidR="00D07DF3" w:rsidRPr="002A7202" w:rsidSect="00D07DF3">
      <w:footerReference w:type="default" r:id="rId9"/>
      <w:pgSz w:w="11907" w:h="16840" w:code="9"/>
      <w:pgMar w:top="864" w:right="720" w:bottom="630" w:left="864" w:header="706" w:footer="3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04" w:rsidRDefault="00261E04">
      <w:r>
        <w:separator/>
      </w:r>
    </w:p>
  </w:endnote>
  <w:endnote w:type="continuationSeparator" w:id="0">
    <w:p w:rsidR="00261E04" w:rsidRDefault="002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EA" w:rsidRPr="00551E17" w:rsidRDefault="007705EA">
    <w:pPr>
      <w:pStyle w:val="Footer"/>
      <w:jc w:val="center"/>
      <w:rPr>
        <w:lang w:val="ro-RO"/>
      </w:rPr>
    </w:pPr>
    <w:r w:rsidRPr="00551E17">
      <w:rPr>
        <w:lang w:val="ro-RO"/>
      </w:rPr>
      <w:fldChar w:fldCharType="begin"/>
    </w:r>
    <w:r w:rsidRPr="00551E17">
      <w:rPr>
        <w:lang w:val="ro-RO"/>
      </w:rPr>
      <w:instrText xml:space="preserve"> PAGE   \* MERGEFORMAT </w:instrText>
    </w:r>
    <w:r w:rsidRPr="00551E17">
      <w:rPr>
        <w:lang w:val="ro-RO"/>
      </w:rPr>
      <w:fldChar w:fldCharType="separate"/>
    </w:r>
    <w:r w:rsidR="00896C06">
      <w:rPr>
        <w:noProof/>
        <w:lang w:val="ro-RO"/>
      </w:rPr>
      <w:t>6</w:t>
    </w:r>
    <w:r w:rsidRPr="00551E17">
      <w:rPr>
        <w:lang w:val="ro-RO"/>
      </w:rPr>
      <w:fldChar w:fldCharType="end"/>
    </w:r>
  </w:p>
  <w:p w:rsidR="007705EA" w:rsidRPr="00551E17" w:rsidRDefault="007705E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04" w:rsidRDefault="00261E04">
      <w:r>
        <w:separator/>
      </w:r>
    </w:p>
  </w:footnote>
  <w:footnote w:type="continuationSeparator" w:id="0">
    <w:p w:rsidR="00261E04" w:rsidRDefault="0026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7EE7"/>
    <w:multiLevelType w:val="multilevel"/>
    <w:tmpl w:val="1D1E5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7C53E1"/>
    <w:multiLevelType w:val="multilevel"/>
    <w:tmpl w:val="43F8E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5522E41"/>
    <w:multiLevelType w:val="hybridMultilevel"/>
    <w:tmpl w:val="6F987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4"/>
    <w:rsid w:val="000668DB"/>
    <w:rsid w:val="00226ED9"/>
    <w:rsid w:val="00261E04"/>
    <w:rsid w:val="002A7202"/>
    <w:rsid w:val="002F08EE"/>
    <w:rsid w:val="002F5E33"/>
    <w:rsid w:val="003032E4"/>
    <w:rsid w:val="00316CA7"/>
    <w:rsid w:val="00424AAD"/>
    <w:rsid w:val="004C6BC2"/>
    <w:rsid w:val="004D2F36"/>
    <w:rsid w:val="00513D9F"/>
    <w:rsid w:val="00685129"/>
    <w:rsid w:val="006A7494"/>
    <w:rsid w:val="007705EA"/>
    <w:rsid w:val="00806BD9"/>
    <w:rsid w:val="0089254D"/>
    <w:rsid w:val="00896C06"/>
    <w:rsid w:val="00941A56"/>
    <w:rsid w:val="00946B29"/>
    <w:rsid w:val="00977DC2"/>
    <w:rsid w:val="009C5D67"/>
    <w:rsid w:val="00A354AA"/>
    <w:rsid w:val="00B05144"/>
    <w:rsid w:val="00B447A1"/>
    <w:rsid w:val="00C02858"/>
    <w:rsid w:val="00C43C4A"/>
    <w:rsid w:val="00C51BC6"/>
    <w:rsid w:val="00D07DF3"/>
    <w:rsid w:val="00D14FB8"/>
    <w:rsid w:val="00D16250"/>
    <w:rsid w:val="00D23F71"/>
    <w:rsid w:val="00D3138E"/>
    <w:rsid w:val="00E21C13"/>
    <w:rsid w:val="00E7774C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BABC82-3C53-41C9-A308-2143EEDE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DF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07D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D07DF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07D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3">
    <w:name w:val="rvts3"/>
    <w:rsid w:val="00D07DF3"/>
  </w:style>
  <w:style w:type="character" w:customStyle="1" w:styleId="psearchhighlight">
    <w:name w:val="psearchhighlight"/>
    <w:basedOn w:val="DefaultParagraphFont"/>
    <w:rsid w:val="00C43C4A"/>
  </w:style>
  <w:style w:type="paragraph" w:styleId="BalloonText">
    <w:name w:val="Balloon Text"/>
    <w:basedOn w:val="Normal"/>
    <w:link w:val="BalloonTextChar"/>
    <w:uiPriority w:val="99"/>
    <w:semiHidden/>
    <w:unhideWhenUsed/>
    <w:rsid w:val="00D16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1750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2025-01-17T10:46:00Z</cp:lastPrinted>
  <dcterms:created xsi:type="dcterms:W3CDTF">2025-01-17T10:23:00Z</dcterms:created>
  <dcterms:modified xsi:type="dcterms:W3CDTF">2025-01-28T14:42:00Z</dcterms:modified>
</cp:coreProperties>
</file>