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E" w:rsidRPr="008B0739" w:rsidRDefault="00405DAE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05DAE" w:rsidRPr="008B0739" w:rsidRDefault="00405DAE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DAE" w:rsidRPr="008B0739" w:rsidRDefault="00405DAE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DAE" w:rsidRPr="008B0739" w:rsidRDefault="00405DAE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3798" w:rsidRPr="008B0739" w:rsidRDefault="00813798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Calibri" w:hAnsi="Times New Roman" w:cs="Times New Roman"/>
          <w:b/>
          <w:bCs/>
          <w:sz w:val="28"/>
          <w:szCs w:val="28"/>
        </w:rPr>
        <w:t>NOTĂ DE FUNDAMENTARE</w:t>
      </w:r>
    </w:p>
    <w:p w:rsidR="00813798" w:rsidRPr="008B0739" w:rsidRDefault="00813798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4616" w:rsidRPr="008B0739" w:rsidRDefault="00BA4616" w:rsidP="00EA11CA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W w:w="481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963"/>
        <w:gridCol w:w="1098"/>
        <w:gridCol w:w="1098"/>
        <w:gridCol w:w="1098"/>
        <w:gridCol w:w="508"/>
        <w:gridCol w:w="453"/>
        <w:gridCol w:w="416"/>
      </w:tblGrid>
      <w:tr w:rsidR="008B0739" w:rsidRPr="008B0739" w:rsidTr="00405DAE">
        <w:tc>
          <w:tcPr>
            <w:tcW w:w="9270" w:type="dxa"/>
            <w:gridSpan w:val="8"/>
          </w:tcPr>
          <w:p w:rsidR="00813798" w:rsidRPr="008B0739" w:rsidRDefault="00813798" w:rsidP="00EA11CA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1</w:t>
            </w:r>
          </w:p>
          <w:p w:rsidR="00813798" w:rsidRPr="008B0739" w:rsidRDefault="005D0484" w:rsidP="00EA11CA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Titlul </w:t>
            </w:r>
            <w:r w:rsidR="00D06871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="00813798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813798" w:rsidRPr="008B0739" w:rsidRDefault="00813798" w:rsidP="00EA11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:rsidR="00813798" w:rsidRPr="008B0739" w:rsidRDefault="00813798" w:rsidP="00EA11CA">
            <w:pPr>
              <w:tabs>
                <w:tab w:val="left" w:pos="990"/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HOTĂRÂRE</w:t>
            </w:r>
          </w:p>
          <w:p w:rsidR="001E5DDC" w:rsidRPr="008B0739" w:rsidRDefault="003964C3" w:rsidP="0067494A">
            <w:pPr>
              <w:tabs>
                <w:tab w:val="left" w:pos="990"/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privind înscrierea un</w:t>
            </w:r>
            <w:r w:rsidR="0067494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or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imobil</w:t>
            </w:r>
            <w:r w:rsidR="0067494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e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în inventarul centralizat al bunurilor din domeniul public al statului </w:t>
            </w:r>
            <w:proofErr w:type="spellStart"/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şi</w:t>
            </w:r>
            <w:proofErr w:type="spellEnd"/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darea acest</w:t>
            </w:r>
            <w:r w:rsidR="0067494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ora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în administrarea Casei de Asigurări de Sănătate Vaslui, aflată în subordinea Casei </w:t>
            </w:r>
            <w:proofErr w:type="spellStart"/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>Naţionale</w:t>
            </w:r>
            <w:proofErr w:type="spellEnd"/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de Asigurări de Sănătate</w:t>
            </w:r>
          </w:p>
          <w:p w:rsidR="00405DAE" w:rsidRPr="008B0739" w:rsidRDefault="00405DAE" w:rsidP="0067494A">
            <w:pPr>
              <w:tabs>
                <w:tab w:val="left" w:pos="990"/>
                <w:tab w:val="left" w:pos="39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739" w:rsidRPr="008B0739" w:rsidTr="00405DAE">
        <w:trPr>
          <w:trHeight w:val="827"/>
        </w:trPr>
        <w:tc>
          <w:tcPr>
            <w:tcW w:w="9270" w:type="dxa"/>
            <w:gridSpan w:val="8"/>
          </w:tcPr>
          <w:p w:rsidR="00A7474A" w:rsidRPr="008B0739" w:rsidRDefault="00A7474A" w:rsidP="00EA11CA">
            <w:pPr>
              <w:tabs>
                <w:tab w:val="left" w:pos="39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13798" w:rsidRPr="008B0739" w:rsidRDefault="00813798" w:rsidP="00EA11CA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2 – a</w:t>
            </w:r>
          </w:p>
          <w:p w:rsidR="001E5DDC" w:rsidRPr="008B0739" w:rsidRDefault="00813798" w:rsidP="007E633F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Motivul emiterii actului normativ</w:t>
            </w:r>
          </w:p>
          <w:p w:rsidR="00405DAE" w:rsidRPr="008B0739" w:rsidRDefault="00405DAE" w:rsidP="007E633F">
            <w:pPr>
              <w:tabs>
                <w:tab w:val="left" w:pos="39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rPr>
          <w:trHeight w:val="827"/>
        </w:trPr>
        <w:tc>
          <w:tcPr>
            <w:tcW w:w="9270" w:type="dxa"/>
            <w:gridSpan w:val="8"/>
          </w:tcPr>
          <w:p w:rsidR="00B22CE8" w:rsidRPr="008B0739" w:rsidRDefault="00B22CE8" w:rsidP="00323FC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739">
              <w:rPr>
                <w:rFonts w:ascii="Times New Roman" w:hAnsi="Times New Roman" w:cs="Times New Roman"/>
                <w:b/>
                <w:sz w:val="24"/>
                <w:szCs w:val="28"/>
              </w:rPr>
              <w:t>2.1. Sursa actului normativ</w:t>
            </w:r>
          </w:p>
          <w:p w:rsidR="00405DAE" w:rsidRPr="008B0739" w:rsidRDefault="00B22CE8" w:rsidP="00323FC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B22CE8" w:rsidRPr="008B0739" w:rsidRDefault="00B22CE8" w:rsidP="00323FC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Conform prevederilor art.288 alin.(1) din Ordonan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a de urgen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ă a Guvernului nr.57/2019 privind Codul administrativ, cu modificările 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 completările ulterioare, Inventarul bunurilor din domeniul public al statului se întocme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te 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 se modifică, după caz, potrivit prevederilor în vigoare, de ministere sau de celelalte organe de specialitate ale administra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iei publice centrale, atât pentru bunurile aflate în administrarea acestora, cât 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 pentru bunurile aflate în administrarea unită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ilor din subordinea, coordonarea sau sub autoritatea acestora, precum 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 de autorită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ile publice autonome, 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 se aprobă prin hotărâre a Guvernului.</w:t>
            </w:r>
          </w:p>
          <w:p w:rsidR="00B22CE8" w:rsidRPr="008B0739" w:rsidRDefault="00B22CE8" w:rsidP="0067494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   Prezentul act normativ, promovat pe circuitul  de avizare, este ini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iat de către </w:t>
            </w:r>
            <w:r w:rsidR="00835089"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și 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Casa Na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ională de Asigurări de Sănătate, în vederea </w:t>
            </w:r>
            <w:r w:rsidR="00654050" w:rsidRPr="008B0739">
              <w:rPr>
                <w:rFonts w:ascii="Times New Roman" w:hAnsi="Times New Roman" w:cs="Times New Roman"/>
                <w:sz w:val="24"/>
                <w:szCs w:val="28"/>
              </w:rPr>
              <w:t>înscrierii</w:t>
            </w:r>
            <w:r w:rsidR="002433FD"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un</w:t>
            </w:r>
            <w:r w:rsidR="0067494A" w:rsidRPr="008B0739">
              <w:rPr>
                <w:rFonts w:ascii="Times New Roman" w:hAnsi="Times New Roman" w:cs="Times New Roman"/>
                <w:sz w:val="24"/>
                <w:szCs w:val="28"/>
              </w:rPr>
              <w:t>or</w:t>
            </w:r>
            <w:r w:rsidR="002433FD"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imobil</w:t>
            </w:r>
            <w:r w:rsidR="0067494A" w:rsidRPr="008B0739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="002433FD"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în 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inventarul centralizat al bunurilor din domeniul public al statului aflate în administrarea Casei de Asigurări de Sănătate </w:t>
            </w:r>
            <w:r w:rsidR="002433FD" w:rsidRPr="008B0739">
              <w:rPr>
                <w:rFonts w:ascii="Times New Roman" w:hAnsi="Times New Roman" w:cs="Times New Roman"/>
                <w:sz w:val="24"/>
                <w:szCs w:val="28"/>
              </w:rPr>
              <w:t>Vaslui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, aflată în subordinea Casei Na</w:t>
            </w:r>
            <w:r w:rsidR="00DF4B54" w:rsidRPr="008B0739">
              <w:rPr>
                <w:rFonts w:ascii="Times New Roman" w:hAnsi="Times New Roman" w:cs="Times New Roman"/>
                <w:sz w:val="24"/>
                <w:szCs w:val="28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>ionale de Asigurări de Sănătate, cuprins în anex</w:t>
            </w:r>
            <w:r w:rsidR="002433FD" w:rsidRPr="008B0739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 w:rsidRPr="008B0739">
              <w:rPr>
                <w:rFonts w:ascii="Times New Roman" w:hAnsi="Times New Roman" w:cs="Times New Roman"/>
                <w:sz w:val="24"/>
                <w:szCs w:val="28"/>
              </w:rPr>
              <w:t xml:space="preserve"> nr. 31 la Hotărârea Guvernului nr. 1705/2006 pentru aprobarea inventarului centralizat al bunurilor din domeniul public al statului.</w:t>
            </w:r>
          </w:p>
          <w:p w:rsidR="00405DAE" w:rsidRPr="008B0739" w:rsidRDefault="00405DAE" w:rsidP="0067494A">
            <w:pPr>
              <w:spacing w:after="0" w:line="264" w:lineRule="auto"/>
              <w:jc w:val="both"/>
              <w:rPr>
                <w:sz w:val="28"/>
                <w:szCs w:val="28"/>
              </w:rPr>
            </w:pPr>
          </w:p>
        </w:tc>
      </w:tr>
      <w:tr w:rsidR="008B0739" w:rsidRPr="008B0739" w:rsidTr="00405DAE">
        <w:trPr>
          <w:trHeight w:val="620"/>
        </w:trPr>
        <w:tc>
          <w:tcPr>
            <w:tcW w:w="9270" w:type="dxa"/>
            <w:gridSpan w:val="8"/>
          </w:tcPr>
          <w:p w:rsidR="00813798" w:rsidRPr="008B0739" w:rsidRDefault="00B22CE8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2.2 </w:t>
            </w:r>
            <w:r w:rsidR="00813798"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Descrierea situa</w:t>
            </w:r>
            <w:r w:rsidR="00DF4B54"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ț</w:t>
            </w:r>
            <w:r w:rsidR="00813798"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iei actuale</w:t>
            </w:r>
          </w:p>
          <w:p w:rsidR="00405DAE" w:rsidRPr="008B0739" w:rsidRDefault="00405DAE" w:rsidP="00323FC5">
            <w:pPr>
              <w:spacing w:after="0" w:line="264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F11" w:rsidRPr="008B0739" w:rsidRDefault="00EB68BF" w:rsidP="00323FC5">
            <w:pPr>
              <w:spacing w:after="0" w:line="264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Casa Na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ională de Asigurări de Sănătate, institu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ie publică, autonomă, interes na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ional, cu personalitate juridică, este organ de specialitate al administra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iei publice centrale, care administrează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gestionează sistemul de asigurări sociale de sănătate, potrivit art. 276 alin. (1) din Legea nr. 95/2006 privind reforma în domeniul sănătă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ii, republicată, cu modificările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completările ulterioare. </w:t>
            </w:r>
          </w:p>
          <w:p w:rsidR="00880F11" w:rsidRPr="008B0739" w:rsidRDefault="00115525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E6A46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Casele de asigurări de sănătate, conform dispozi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iilor art. 277 alin. (1) din Legea nr. 95/2006, republicată, cu modificările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completările ulterioare, sunt institu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ii publice cu personalitate juridică, cu bugete proprii, aflate în subordinea Casei Na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ionale de Asigurări de 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Sănătate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de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în administrare bunuri din domeniul public al statului, bunuri înregistrate în anexa nr. 31 din Hotărârea Guvernului nr. 1705/2006 pentru aprobarea inventarului centralizat al bunurilor din domeniul public al statului, cu modificările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="00880F11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completările ulterioare.</w:t>
            </w:r>
          </w:p>
          <w:p w:rsidR="0015762B" w:rsidRPr="008B0739" w:rsidRDefault="0015762B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8E6A46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22CE8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Opera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B22CE8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iunile normative întreprinse asupra inventarului centralizat al bunurilor din domeniul public al statului au în vedere dispozi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B22CE8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iile 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art. 2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^1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2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^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din O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rdonan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</w:t>
            </w:r>
            <w:r w:rsidR="00222373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uvernului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nr. 81/2003 privind reevaluarea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amortizarea activelor fixe aflate în patrimoniul institu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iilor publice, aprobată prin Legea nr. 493/2003, cu modificările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completările ulterioare.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762B" w:rsidRPr="008B0739" w:rsidRDefault="0015762B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Potrivit dispozi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iilor art. 288 alin. (1)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(2)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din Ordonan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de urgen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ă a Guvernului nr. 57/2019 privind Codul administrativ, cu 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modificările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completările ulterioare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nventarul bunurilor din domeniul public al statului se întocme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se modifică, după caz, potrivit prevederilor în vigoare, de ministere sau de celelalte organe de specialitate ale administra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iei publice centrale, atât pentru bunurile aflate în administrarea acestora, cât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pentru bunurile aflate în administrarea unită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ilor din subordinea, coordonarea sau sub autoritatea acestora, precum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de autorită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ile publice autonome,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se aprobă prin hotărâre a Guvernului.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Actualizarea inventarului centralizat al bunurilor din domeniul public al statului se realizează prin sistemul securizat al ministerului cu atribu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în domeniul finan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elor publice de către institu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iile publice, pe baza actelor normative sau individuale, după caz, aprobate. Ministerul cu atribu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 în domeniul finan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elor publice realizează centralizarea inventarului bunurilor din domeniul public al statului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E0568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îl supune aprobării Guvernului, prin hotărâre.</w:t>
            </w:r>
          </w:p>
          <w:p w:rsidR="00C067A7" w:rsidRPr="008B0739" w:rsidRDefault="0067494A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Totodată, potrivit</w:t>
            </w:r>
            <w:r w:rsidR="00C067A7" w:rsidRPr="008B0739">
              <w:t xml:space="preserve"> </w:t>
            </w:r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pct.30 din Anexa nr.2 la OUG nr.57/2019, terenurile si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cladirile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 care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isi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desfasoara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activitatea celelalte organe de specialitate ale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administratiei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publice centrale si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institutiile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publice subordonate acestora,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reprezinta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bunuri care </w:t>
            </w:r>
            <w:proofErr w:type="spellStart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apartin</w:t>
            </w:r>
            <w:proofErr w:type="spellEnd"/>
            <w:r w:rsidR="00C067A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domeniului public al statului.</w:t>
            </w:r>
          </w:p>
          <w:p w:rsidR="007C6837" w:rsidRPr="008B0739" w:rsidRDefault="00A3352B" w:rsidP="00323FC5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 </w:t>
            </w:r>
            <w:r w:rsidR="00D0778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otrivit art. 1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 2 alin. (1) din  Normele tehnice pentru întocmirea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actualizarea inventarului bunurilor din domeniul public al statului, prevăzute în Anexa nr. 1 la H.G. nr. 1176/2024, inventarul bunurilor din domeniul public al statului se întocme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se modifică de către entită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ile prevăzute la art. 288 alin. (1) din Ordonan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de urgen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ă a Guvernului nr. 57/2019 privind Codul administrativ, cu modificările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completările ulterioare, în conformitate cu dispozi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iile acestor norme, iar modificarea inventarului bunurilor din domeniul public al statului se face ori de câte ori se modifică, printre altele, regimul juridic al bunurilor 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i/sau titularul dreptului de proprietate, respectiv în cazul unor intrări sau ie</w:t>
            </w:r>
            <w:r w:rsidR="00DF4B5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ș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iri </w:t>
            </w:r>
            <w:r w:rsidR="00D07784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 bunuri în inventar, după caz</w:t>
            </w:r>
            <w:r w:rsidR="007C6837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067A7" w:rsidRPr="008B0739" w:rsidRDefault="00C067A7" w:rsidP="00C067A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De asemenea, potrivit prevederilor pct. 4.30(2) din Normele metodologice privind întocmirea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depunerea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situaţiilor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financiare ale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instituţiilor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publice,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prevăzute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în Anexa nr. 1 la Ordinul ministrului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finantelor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publice nr.1177/18.01.2018, cu modificările și completările ulterioare, ordonatorii principali de credite au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obligatia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reconcilierii valorilor bunurilor imobile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înregistrate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 Inventarul centralizat al bunurilor din domeniul public al statului, potrivit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Hotararii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Guvernului nr.1705/2006, cu valorile bunurilor mobile si imobile din domeniul public al statului aflate in administrarea caselor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asigurari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sanatate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declarate in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situatiile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financiare anuale depuse la Ministerul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Finantelor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067A7" w:rsidRPr="008B0739" w:rsidRDefault="00C067A7" w:rsidP="00C067A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628A0" w:rsidRPr="008B0739" w:rsidRDefault="008628A0" w:rsidP="008628A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Imobilul (teren și construcții) este situat în Municipiul Vaslui, Str. Stefan cel Mare, nr.131,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jud.Vaslui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identificat cu număr cadastral 75139, intabulat in Cartea Funciara nr.75139 a UAT Vaslui (nr. CF vechi 3905), 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dobandit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CAS Vaslui prin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cumpărare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cu Contractul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vanzare-cumparare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autentificat sub nr. 2147/15.10.2001 la notar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Simin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Maria. Acest imobil a fost de la momentul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dobândirii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 este si in prezent  in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proprietatea publica a statului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aflat in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administrarea Casei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Asigurari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Sanatate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Vaslui, în conformitate cu dispozițiile pct.30 din Anexa nr.2 la OUG nr.57/2019 privind Codul administrativ.</w:t>
            </w:r>
          </w:p>
          <w:p w:rsidR="008628A0" w:rsidRPr="008B0739" w:rsidRDefault="008628A0" w:rsidP="008628A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Curtea de Conturi a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României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Camera de Conturi Vaslui, prin Decizia nr. 7/29.04.2022 a dispus efectuarea demersurilor privind actualizarea Inventarului centralizat al bunurilor din domeniul public al statului cu privire la acest imobil. </w:t>
            </w:r>
          </w:p>
          <w:p w:rsidR="008628A0" w:rsidRPr="008B0739" w:rsidRDefault="008628A0" w:rsidP="008628A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Avand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 vedere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masura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retinuta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Curtea de Conturi 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Romaniei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respectiv Camera de Conturi Vaslui, referitoare la luarea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catre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ordonatorul de credite a tuturor masurilor care sa asigure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intocmirea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inventarului bunurilor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apartinand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domeniului public al statului aflate in administrarea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entitatii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(inclusiv atestarea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proprietatii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prin intermediul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Cas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National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Asigurari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Sanatate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reflectarea corecta a acestuia in evidentele tehnico-operative si contabile (sintetica si analitica), inclusiv realizarea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corectii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operatiunilor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privind amortizarea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cladirilor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CAS Vaslui a procedat la remedierea acesteia prin solicitarea </w:t>
            </w:r>
            <w:r w:rsidR="0065405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rectificării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mentiunilor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din Cartea funciara CF 75139/Vaslui, în sensul ca imobilul identificat cu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numar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cadastral 75139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apartine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domeniului public al Statului Roman si in administrarea Casei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Asigurari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Sanatate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Vaslui. Solicitarea a avut la baza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Declaratia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notariala data de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catre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Directorul General al CAS Vaslui , autentificata prin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Incheiere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autentificare nr.791/16.05.2022, prin care s-a rectificat Carte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Funciara nr.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75139, 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temeiul art.276 si 277 din Legea nr.95/2006, republicata, cu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modificarile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completarile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ulterioare, precum si in conformitate cu 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pct.30 din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Anexa 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nr.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D6F6E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OUG nr.57/2019 privind Codul administrativ. In acest sens s-a emis extrasul de Carte funciara nr.75139.</w:t>
            </w:r>
          </w:p>
          <w:p w:rsidR="008628A0" w:rsidRPr="008B0739" w:rsidRDefault="00CD6F6E" w:rsidP="008628A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Totodata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s-a solicitat rectificarea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mentiunilor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din Cartea funciara CF 72439-C1-U44,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 sensul ca imobilul situat in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un.Vaslui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Stefan cel Mare, bl.131,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sc.A,B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arter,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jud.Vaslui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identificat cu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numar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cadastral 72439-C1-U44,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apartine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domeniului public al Statului Roman si in administrarea Casei de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Asigurari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Sanatate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Vaslui. Solicitarea a avut la baz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ă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Declaratia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notariala data de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catre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Directorul General al CAS Vaslui autentificata prin </w:t>
            </w:r>
            <w:proofErr w:type="spellStart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Incheiere</w:t>
            </w:r>
            <w:proofErr w:type="spellEnd"/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autentificare nr.1563/09.12.2024, prin care s-a rectificat Cartea Funciara CF 72439-C1-U44 Vaslui,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in conformitate cu 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pct. 30 din Anexa nr. 2 la </w:t>
            </w:r>
            <w:r w:rsidR="008628A0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OUG nr.57/2019 privind Codul administrativ. In acest sens s-a emis extrasul de Carte funciara nr.72439-C1-U44.</w:t>
            </w:r>
          </w:p>
          <w:p w:rsidR="00073C64" w:rsidRPr="008B0739" w:rsidRDefault="00073C64" w:rsidP="008628A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În consecință, pentru a reflecta corect valoarea și statutul juridic al imobil</w:t>
            </w:r>
            <w:r w:rsidR="0067494A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elor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(teren</w:t>
            </w:r>
            <w:r w:rsidR="0067494A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uri</w:t>
            </w: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și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cladir</w:t>
            </w:r>
            <w:r w:rsidR="0067494A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aflat în administrarea CAS Vaslui, instituție din subordinea Casei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Naţionale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Asigurări de Sănătate, pentru asigurarea conformității cu </w:t>
            </w:r>
            <w:proofErr w:type="spellStart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legislatia</w:t>
            </w:r>
            <w:proofErr w:type="spellEnd"/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în vigoare și pentru o gestionare eficienta a bunurilor din domeniul public al statului, este necesară actualizarea inventarului centralizat al bunurilor din domeniul public al statului, cuprins în Anexa nr. 31 la HG nr. 1705/2006.</w:t>
            </w:r>
          </w:p>
          <w:p w:rsidR="00313496" w:rsidRPr="008B0739" w:rsidRDefault="00313496" w:rsidP="00FC0D4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C82692" w:rsidRPr="008B0739" w:rsidRDefault="00B22CE8" w:rsidP="00EA11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="00C82692" w:rsidRPr="008B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Schimbări preconizate      </w:t>
            </w:r>
          </w:p>
          <w:p w:rsidR="006F6B7A" w:rsidRPr="008B0739" w:rsidRDefault="00C82692" w:rsidP="00EA11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259B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5D35" w:rsidRPr="008B0739" w:rsidRDefault="006F6B7A" w:rsidP="00BD5D3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 xml:space="preserve">Prin prezentul proiect de act normativ se propune 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înscrierea în</w:t>
            </w: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inventarul centralizat al bunurilor din domeniul public al statului 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și darea în administrare</w:t>
            </w: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a Casei de Asigurări de Sănătate 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Vaslui</w:t>
            </w: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aflată în subordinea Casei Na</w:t>
            </w:r>
            <w:r w:rsidR="00DF4B54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ionale de Asigurări de Sănătate, 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 un</w:t>
            </w:r>
            <w:r w:rsidR="0067494A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or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bun</w:t>
            </w:r>
            <w:r w:rsidR="0067494A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uri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imobil</w:t>
            </w:r>
            <w:r w:rsidR="0067494A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</w:t>
            </w:r>
            <w:r w:rsidR="00AC423E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>compus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din clădir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sediu 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>i teren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, conform extraselor de carte funciare nr. CF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75139 Vaslui și 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CF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72439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>-C1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-U44 Vaslui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242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>de la adresa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, Str. Stefan cel Mare, nr.131, municipiul Vaslui, </w:t>
            </w:r>
            <w:proofErr w:type="spellStart"/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jud.Vaslui</w:t>
            </w:r>
            <w:proofErr w:type="spellEnd"/>
            <w:r w:rsidR="00070E9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242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având datele de identificare prevăzute în anexa </w:t>
            </w:r>
            <w:r w:rsidR="008427F1" w:rsidRPr="008B0739">
              <w:rPr>
                <w:rFonts w:ascii="Times New Roman" w:hAnsi="Times New Roman" w:cs="Times New Roman"/>
                <w:sz w:val="24"/>
                <w:szCs w:val="24"/>
              </w:rPr>
              <w:t>la proiectul de act normativ</w:t>
            </w:r>
            <w:r w:rsidR="00BF0242" w:rsidRPr="008B0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292" w:rsidRPr="008B0739" w:rsidRDefault="00887292" w:rsidP="008872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ab/>
              <w:t>Valorile de inventar pentru imobil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ele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(clădir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sediu și teren</w:t>
            </w:r>
            <w:r w:rsidR="0067494A" w:rsidRPr="008B0739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prevăzut în cărțile funciare nr.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CF 75139 Vaslui și CF 72439-C1-U44 Vaslui, 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>au fost stabilite prin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Procesul-verbal de reevaluare a activelor fixe corporale aflate în patrimoniul CAS Vaslui nr. 28249/20.12.2022,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întocmit de către Comisia de reevaluare numită prin Decizia nr.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Președintelui - </w:t>
            </w:r>
            <w:r w:rsidR="00AC423E" w:rsidRPr="008B0739">
              <w:rPr>
                <w:rFonts w:ascii="Times New Roman" w:hAnsi="Times New Roman" w:cs="Times New Roman"/>
                <w:sz w:val="24"/>
                <w:szCs w:val="24"/>
              </w:rPr>
              <w:t>Director General al Casei de Asigurări de Sănătate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Vaslui.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292" w:rsidRPr="008B0739" w:rsidRDefault="00887292" w:rsidP="008872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Prin declarația directorului general al Casei de Asigurări de Sănătate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Vaslui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nr.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142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/1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.02.2025 se face cunoscut faptul că,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în prezent</w:t>
            </w:r>
            <w:r w:rsidR="00654050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se menține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aceeași valoarea a imobilelor,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așa cum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este prevăzută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și în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ultimul </w:t>
            </w:r>
            <w:r w:rsidR="00535DF3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proces-verbal de reevaluare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menționat mai sus. </w:t>
            </w:r>
          </w:p>
          <w:p w:rsidR="00887292" w:rsidRPr="008B0739" w:rsidRDefault="00535DF3" w:rsidP="008872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De asemenea, prin declarația directorului general al Casei de Asigurări de Sănătate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Vaslui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nr.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143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/1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.02.2025 se precizează faptul că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imobilele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utilizate de această casă de asigurări de sănătate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(teren</w:t>
            </w:r>
            <w:r w:rsidR="000E653B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uri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și construcții)</w:t>
            </w:r>
            <w:r w:rsidR="00B825A5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nu sunt supuse unor cereri de revendicare / retrocedare,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nu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se</w:t>
            </w:r>
            <w:r w:rsidR="00887292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află în litigiu pe rolul instanțelor judecătorești, nu sunt grevate de sarcini și nu sunt închiriate sau concesionate.</w:t>
            </w:r>
          </w:p>
          <w:p w:rsidR="00535DF3" w:rsidRPr="008B0739" w:rsidRDefault="00535DF3" w:rsidP="00535D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În evidentele financiar-contabile ale CAS Vaslui, valoarea </w:t>
            </w:r>
            <w:r w:rsidR="00654050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totala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de inventar înregistrată pentru </w:t>
            </w:r>
            <w:r w:rsidR="00654050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clădirile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din cele două extrase de carte funciară este de 5.300.856,06 lei, nefiind separata, iar valoarea </w:t>
            </w:r>
            <w:r w:rsidR="00654050"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totala </w:t>
            </w:r>
            <w:r w:rsidRPr="008B07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de inventar înregistrata pentru terenurile din cele două extrase de carte funciară este de 321.297,30 lei, nefiind separata.</w:t>
            </w:r>
          </w:p>
          <w:p w:rsidR="005D0484" w:rsidRPr="008B0739" w:rsidRDefault="00070E9E" w:rsidP="00DA2D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730FEB" w:rsidRPr="008B0739" w:rsidRDefault="00BE259B" w:rsidP="00D2453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Alte informa</w:t>
            </w:r>
            <w:r w:rsidR="00DF4B54" w:rsidRPr="008B0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405DAE" w:rsidRPr="008B0739" w:rsidRDefault="00405DAE" w:rsidP="00405DAE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59B" w:rsidRPr="008B0739" w:rsidRDefault="00730FEB" w:rsidP="00EA11C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Necesitatea 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oportunitatea promovării proiectului de act normativ, realitatea 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i corectitudinea datelor prezentate, apar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Casei de Asigurări de Sănătate </w:t>
            </w:r>
            <w:r w:rsidR="00DA2D6F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Vaslui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B35A7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aflat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CB35A7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 subordinea 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Casei Na</w:t>
            </w:r>
            <w:r w:rsidR="00DF4B54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="00BE259B" w:rsidRPr="008B0739">
              <w:rPr>
                <w:rFonts w:ascii="Times New Roman" w:hAnsi="Times New Roman" w:cs="Times New Roman"/>
                <w:bCs/>
                <w:sz w:val="24"/>
                <w:szCs w:val="24"/>
              </w:rPr>
              <w:t>ionale de Asigurări de Sănătate.</w:t>
            </w:r>
          </w:p>
          <w:p w:rsidR="00722014" w:rsidRPr="008B0739" w:rsidRDefault="00722014" w:rsidP="00DA2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      Casa Na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>ională de Asigurări de Sănătate împreună cu Ministerul Finan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elor vor actualiza în mod corespunzător datele 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>i vor opera modificările în anex</w:t>
            </w:r>
            <w:r w:rsidR="00DA2D6F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31 la Hotărârea Guvernului nr. 1705/2006 pentru aprobarea inventarului centralizat al bunurilor din domeniul public al statului, cu modificările </w:t>
            </w:r>
            <w:r w:rsidR="00DF4B54" w:rsidRPr="008B073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>i completările ulterioare.</w:t>
            </w: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3-a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Impactul </w:t>
            </w:r>
            <w:proofErr w:type="spellStart"/>
            <w:r w:rsidR="00D06871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socio</w:t>
            </w:r>
            <w:proofErr w:type="spellEnd"/>
            <w:r w:rsidR="00D06871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-economic al 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5D0484" w:rsidRPr="008B0739" w:rsidRDefault="005D0484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pStyle w:val="ListParagraph"/>
              <w:numPr>
                <w:ilvl w:val="0"/>
                <w:numId w:val="14"/>
              </w:numPr>
              <w:tabs>
                <w:tab w:val="left" w:pos="3960"/>
              </w:tabs>
              <w:spacing w:after="0" w:line="240" w:lineRule="auto"/>
              <w:ind w:left="237" w:hanging="2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 macro-economic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92342E" w:rsidRPr="008B0739" w:rsidRDefault="0092342E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Impactul asupra mediului concuren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ial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domeniului ajutoarelor de stat: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Impact asupra mediului de afaceri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.Impactul asupra sarcinilor administrative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.Impactul asupra întreprinderilor mici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mijlocii</w:t>
            </w:r>
          </w:p>
          <w:p w:rsidR="0089668D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6937F5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Impact social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A5023B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Impact asupra mediului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A5023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6937F5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4B3C6C" w:rsidRPr="008B0739" w:rsidRDefault="00A5023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B05EE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="00B05EE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92342E" w:rsidRPr="008B0739" w:rsidRDefault="00B05EE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sunt</w:t>
            </w:r>
          </w:p>
          <w:p w:rsidR="006937F5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1E5DDC" w:rsidRPr="008B0739" w:rsidRDefault="001E5DDC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4-a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Impactul financiar asupra bugetului general consolidat,</w:t>
            </w:r>
          </w:p>
          <w:p w:rsidR="006937F5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atât pe termen scurt, pentru anul curent, cât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pe termen lung (pe 5 ani)</w:t>
            </w:r>
            <w:r w:rsidR="0071032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710324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32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inclusiv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="0071032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cu privire la cheltuieli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="0071032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venituri</w:t>
            </w:r>
          </w:p>
          <w:p w:rsidR="00405DAE" w:rsidRPr="008B0739" w:rsidRDefault="00405DAE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are impact asupra bugetului general consolidat. </w:t>
            </w:r>
          </w:p>
          <w:p w:rsidR="00CE16D3" w:rsidRPr="008B0739" w:rsidRDefault="00CE16D3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- în mii lei (RON) -</w:t>
            </w: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Anul curent</w:t>
            </w:r>
          </w:p>
        </w:tc>
        <w:tc>
          <w:tcPr>
            <w:tcW w:w="4255" w:type="dxa"/>
            <w:gridSpan w:val="5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Următorii patru ani</w:t>
            </w:r>
          </w:p>
        </w:tc>
        <w:tc>
          <w:tcPr>
            <w:tcW w:w="41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Media pe cinci ani </w:t>
            </w: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Modificări ale veniturilor bugetare, plus/minus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, din care: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a) buget de stat, din acesta:</w:t>
            </w:r>
          </w:p>
          <w:p w:rsidR="00FF21AA" w:rsidRPr="008B0739" w:rsidRDefault="00FF21AA" w:rsidP="001E5DDC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impozit pe profit</w:t>
            </w:r>
          </w:p>
          <w:p w:rsidR="00FF21AA" w:rsidRPr="008B0739" w:rsidRDefault="00FF21AA" w:rsidP="001E5DDC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impozit pe venit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b) bugete locale</w:t>
            </w:r>
          </w:p>
          <w:p w:rsidR="00FF21AA" w:rsidRPr="008B0739" w:rsidRDefault="00FF21AA" w:rsidP="001E5DDC">
            <w:pPr>
              <w:numPr>
                <w:ilvl w:val="0"/>
                <w:numId w:val="2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impozit pe profit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c) bugetul asigurărilor sociale de stat:</w:t>
            </w:r>
          </w:p>
          <w:p w:rsidR="00E3682A" w:rsidRPr="008B0739" w:rsidRDefault="00FF21AA" w:rsidP="001E5DDC">
            <w:pPr>
              <w:pStyle w:val="ListParagraph"/>
              <w:numPr>
                <w:ilvl w:val="0"/>
                <w:numId w:val="2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contribu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ii de asigurări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rPr>
          <w:trHeight w:val="530"/>
        </w:trPr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2.Modificări ale cheltuielilor bugetare, plus/minus,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care: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a) buget de stat, din acesta:</w:t>
            </w:r>
          </w:p>
          <w:p w:rsidR="00FF21AA" w:rsidRPr="008B0739" w:rsidRDefault="00FF21AA" w:rsidP="001E5DDC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cheltuieli de personal</w:t>
            </w:r>
          </w:p>
          <w:p w:rsidR="00FF21AA" w:rsidRPr="008B0739" w:rsidRDefault="00FF21AA" w:rsidP="001E5DDC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bunuri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servicii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b) bugete locale:</w:t>
            </w:r>
          </w:p>
          <w:p w:rsidR="00FF21AA" w:rsidRPr="008B0739" w:rsidRDefault="00FF21AA" w:rsidP="001E5DDC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cheltuieli de personal</w:t>
            </w:r>
          </w:p>
          <w:p w:rsidR="00FF21AA" w:rsidRPr="008B0739" w:rsidRDefault="00FF21AA" w:rsidP="001E5DDC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bunuri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 servicii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c) bugetul asigurărilor sociale de stat:</w:t>
            </w:r>
          </w:p>
          <w:p w:rsidR="00FF21AA" w:rsidRPr="008B0739" w:rsidRDefault="00FF21AA" w:rsidP="001E5DDC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cheltuieli de personal</w:t>
            </w:r>
          </w:p>
          <w:p w:rsidR="00F919DD" w:rsidRPr="008B0739" w:rsidRDefault="00FF21AA" w:rsidP="001E5DDC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bunuri 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servicii </w:t>
            </w: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Impact financiar, plus/minus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, din care: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buget de stat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b) bugete locale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Propuneri pentru acoperirea cre</w:t>
            </w:r>
            <w:r w:rsidR="00DF4B54"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terii cheltuielilor bugetare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Propuneri pentru a compensa reducerea veniturilor bugetare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3636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Calcule detaliate privind fundamentarea modificărilor veniturilor </w:t>
            </w:r>
            <w:r w:rsidR="00DF4B54"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i/sau cheltuielilor bugetare</w:t>
            </w:r>
          </w:p>
        </w:tc>
        <w:tc>
          <w:tcPr>
            <w:tcW w:w="963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B3786A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060D0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="00060D0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CE16D3" w:rsidRPr="008B0739" w:rsidRDefault="00060D04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sunt</w:t>
            </w: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405DAE" w:rsidRPr="008B0739" w:rsidRDefault="00405DAE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3786A" w:rsidRPr="008B0739" w:rsidRDefault="00B3786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5-a</w:t>
            </w:r>
          </w:p>
          <w:p w:rsidR="005D0484" w:rsidRPr="008B0739" w:rsidRDefault="00B3786A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Efectele </w:t>
            </w:r>
            <w:r w:rsidR="006937F5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 asupra legisla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iei în vigoare</w:t>
            </w:r>
          </w:p>
          <w:p w:rsidR="00405DAE" w:rsidRPr="008B0739" w:rsidRDefault="00405DAE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Măsuri normative necesare pentru aplicarea prevederilor </w:t>
            </w:r>
            <w:r w:rsidR="006937F5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 (acte normative în vigoare ce vor fi modificate sau abrogate, ca urmare a intrării în vigoare a proiectului de act normativ):</w:t>
            </w:r>
          </w:p>
          <w:p w:rsidR="00FB3906" w:rsidRPr="008B0739" w:rsidRDefault="00FB3906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a) acte normative care se modifică sau se abrogă ca urmare a intrării în vigoare a proiectului de act normativ</w:t>
            </w:r>
          </w:p>
          <w:p w:rsidR="00FF21AA" w:rsidRPr="008B0739" w:rsidRDefault="00FB3906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b) acte normative ce urmează a fi elaborate în vederea implementării noilor dispozi</w:t>
            </w:r>
            <w:r w:rsidR="00DF4B54"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ii.</w:t>
            </w:r>
          </w:p>
          <w:p w:rsidR="0089668D" w:rsidRPr="008B0739" w:rsidRDefault="0089668D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Compatibilitatea </w:t>
            </w:r>
            <w:r w:rsidR="006937F5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 cu legisla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ia în domeniul achizi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iilor publice</w:t>
            </w:r>
          </w:p>
          <w:p w:rsidR="00FF21AA" w:rsidRPr="008B0739" w:rsidRDefault="006937F5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FB3906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rPr>
          <w:trHeight w:val="556"/>
        </w:trPr>
        <w:tc>
          <w:tcPr>
            <w:tcW w:w="9270" w:type="dxa"/>
            <w:gridSpan w:val="8"/>
          </w:tcPr>
          <w:p w:rsidR="00FB3906" w:rsidRPr="008B0739" w:rsidRDefault="00FB3906" w:rsidP="001E5D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b/>
                <w:sz w:val="24"/>
                <w:szCs w:val="24"/>
              </w:rPr>
              <w:t>2. Conformitatea proiectului de act normativ cu legisla</w:t>
            </w:r>
            <w:r w:rsidR="00DF4B54" w:rsidRPr="008B0739">
              <w:rPr>
                <w:rFonts w:ascii="Times New Roman" w:hAnsi="Times New Roman" w:cs="Times New Roman"/>
                <w:b/>
                <w:sz w:val="24"/>
                <w:szCs w:val="24"/>
              </w:rPr>
              <w:t>ț</w:t>
            </w:r>
            <w:r w:rsidRPr="008B0739">
              <w:rPr>
                <w:rFonts w:ascii="Times New Roman" w:hAnsi="Times New Roman" w:cs="Times New Roman"/>
                <w:b/>
                <w:sz w:val="24"/>
                <w:szCs w:val="24"/>
              </w:rPr>
              <w:t>ia comunitară în cazul proiectelor ce transpun prevederi comunitare:</w:t>
            </w:r>
          </w:p>
          <w:p w:rsidR="00FF21AA" w:rsidRPr="008B0739" w:rsidRDefault="006937F5" w:rsidP="001E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hAnsi="Times New Roman" w:cs="Times New Roman"/>
                <w:sz w:val="24"/>
                <w:szCs w:val="24"/>
              </w:rPr>
              <w:t>Prezentul</w:t>
            </w:r>
            <w:r w:rsidR="00FB3906" w:rsidRPr="008B0739">
              <w:rPr>
                <w:rFonts w:ascii="Times New Roman" w:hAnsi="Times New Roman" w:cs="Times New Roman"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Măsuri normative necesare aplicării directe a actelor normative comunitare</w:t>
            </w:r>
          </w:p>
          <w:p w:rsidR="00FF21AA" w:rsidRPr="008B0739" w:rsidRDefault="00FB3906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Proiectul de act normativ nu se referă la acest subiect</w:t>
            </w: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Hotărâri ale Cur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de Justi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ie a Uniunii Europene 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se referă la acest subiect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Alte acte normative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i/sau documente interna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ionale din care decurg angajamente, făcându-se referire la un anume acord, o anume rezolu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 sau recomandare interna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ională ori la alt document al unei organiza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interna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ionale:</w:t>
            </w:r>
          </w:p>
          <w:p w:rsidR="006937F5" w:rsidRPr="008B0739" w:rsidRDefault="006937F5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FB3906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6937F5" w:rsidRPr="008B0739" w:rsidRDefault="006937F5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sunt.</w:t>
            </w:r>
          </w:p>
          <w:p w:rsidR="006937F5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405DAE" w:rsidRPr="008B0739" w:rsidRDefault="00405DAE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6-a</w:t>
            </w:r>
          </w:p>
          <w:p w:rsidR="0042772A" w:rsidRPr="008B0739" w:rsidRDefault="00FF21AA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Consultările efectuate în v</w:t>
            </w:r>
            <w:r w:rsidR="00D06871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ederea elaborării 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405DAE" w:rsidRPr="008B0739" w:rsidRDefault="00405DAE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privind procesul de consultare cu organiza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iile neguvernamentale, institute de cercetare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alte organisme implicate 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FB3906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</w:t>
            </w:r>
          </w:p>
          <w:p w:rsidR="0042772A" w:rsidRPr="008B0739" w:rsidRDefault="0042772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B3906" w:rsidRPr="008B0739" w:rsidRDefault="00FB3906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Fundamentarea alegerii organiza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iilor cu care a avut loc consultarea precum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a modului în care activitatea acestor organiza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este legată de obiectul </w:t>
            </w:r>
            <w:r w:rsidR="006937F5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Prezentul</w:t>
            </w:r>
            <w:r w:rsidR="00FB3906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subiect.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rPr>
          <w:trHeight w:val="161"/>
        </w:trPr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 Consultările organizate cu autorită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ile administra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iei publice locale, în situa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ia în care </w:t>
            </w:r>
            <w:r w:rsidR="006937F5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 are ca obiect activită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ale acestor autorită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i, în condi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iile Hotărârii Guvernului nr.521/2005 privind procedura de consultare a structurilor asociative ale autorită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ilor administra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iei publice locale la elaborarea proiectelor de acte normative</w:t>
            </w:r>
          </w:p>
          <w:p w:rsidR="00FF21A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se referă la acest subiect.</w:t>
            </w:r>
          </w:p>
          <w:p w:rsidR="0089668D" w:rsidRPr="008B0739" w:rsidRDefault="0089668D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Consultările desfă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urate în cadrul consiliilor interministeriale în conformitate cu prevederile Hotărârii Guvernului nr.750/2005 privind constituirea consiliilor interministeriale permanente</w:t>
            </w:r>
          </w:p>
          <w:p w:rsidR="0089668D" w:rsidRPr="008B0739" w:rsidRDefault="006937F5" w:rsidP="007E633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se referă la acest subiect</w:t>
            </w:r>
          </w:p>
          <w:p w:rsidR="00405DAE" w:rsidRPr="008B0739" w:rsidRDefault="00405DAE" w:rsidP="007E633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privind avizarea de către:</w:t>
            </w:r>
          </w:p>
          <w:p w:rsidR="00FF21AA" w:rsidRPr="008B0739" w:rsidRDefault="00FF21AA" w:rsidP="001E5DDC">
            <w:pPr>
              <w:tabs>
                <w:tab w:val="left" w:pos="3960"/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a) Consiliul Legislativ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F21AA" w:rsidRPr="008B0739" w:rsidRDefault="00FF21AA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b) Consiliul Suprem de Apărare a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ării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c) Consiliul Economic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Social</w:t>
            </w:r>
          </w:p>
          <w:p w:rsidR="00FF21AA" w:rsidRPr="008B0739" w:rsidRDefault="00FF21AA" w:rsidP="001E5DDC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d) Consiliul Concuren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ei 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e) Curtea de Conturi</w:t>
            </w:r>
          </w:p>
          <w:p w:rsidR="0042772A" w:rsidRPr="008B0739" w:rsidRDefault="006937F5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se referă la acest subiect.</w:t>
            </w:r>
          </w:p>
          <w:p w:rsidR="00722014" w:rsidRPr="008B0739" w:rsidRDefault="00722014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sunt.</w:t>
            </w:r>
          </w:p>
          <w:p w:rsidR="0042772A" w:rsidRPr="008B0739" w:rsidRDefault="0042772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405DAE" w:rsidRPr="008B0739" w:rsidRDefault="00405DAE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7-a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Activită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de informare publică privind elaborarea </w:t>
            </w:r>
          </w:p>
          <w:p w:rsidR="0042772A" w:rsidRPr="008B0739" w:rsidRDefault="00DF4B54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="00D06871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implementarea prezentului</w:t>
            </w:r>
            <w:r w:rsidR="00FF21A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405DAE" w:rsidRPr="008B0739" w:rsidRDefault="00405DAE" w:rsidP="007E633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Informarea societă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civile cu privire la necesitatea elaborării </w:t>
            </w:r>
            <w:r w:rsidR="0042772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S-au respectat prevederile Legii nr. 52/2003 privind transparen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a decizională în administra</w:t>
            </w:r>
            <w:r w:rsidR="00DF4B5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ia publică, republicată.</w:t>
            </w:r>
          </w:p>
          <w:p w:rsidR="0042772A" w:rsidRPr="008B0739" w:rsidRDefault="0042772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Informarea societă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civile cu privire la eventualul impact asupra mediului în urma implementării proiectului de act normativ, precum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efectele asupra sănătă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securită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cetă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enilor sau diversită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biologice </w:t>
            </w:r>
          </w:p>
          <w:p w:rsidR="00FF21AA" w:rsidRPr="008B0739" w:rsidRDefault="0042772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Prezentul</w:t>
            </w:r>
            <w:r w:rsidR="00FF21AA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act normativ nu se referă la acest subiect.</w:t>
            </w:r>
          </w:p>
          <w:p w:rsidR="0042772A" w:rsidRPr="008B0739" w:rsidRDefault="0042772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sunt</w:t>
            </w: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405DAE" w:rsidRPr="008B0739" w:rsidRDefault="00405DAE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iunea a 8-a</w:t>
            </w:r>
          </w:p>
          <w:p w:rsidR="00FF21AA" w:rsidRPr="008B0739" w:rsidRDefault="00D24536" w:rsidP="00D245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Măsuri de implementare</w:t>
            </w:r>
          </w:p>
          <w:p w:rsidR="00405DAE" w:rsidRPr="008B0739" w:rsidRDefault="00405DAE" w:rsidP="00D245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BE259B" w:rsidRPr="008B0739" w:rsidRDefault="00BE259B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Măsurile de punere în aplicare a </w:t>
            </w:r>
            <w:r w:rsidR="0042772A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prezentului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act normativ de către autorită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ile administra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iei publice centrale 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i/sau locale - înfiin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area unor noi organisme sau  extinderea competen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elor institu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iilor existente</w:t>
            </w:r>
          </w:p>
          <w:p w:rsidR="0042772A" w:rsidRPr="008B0739" w:rsidRDefault="0042772A" w:rsidP="00F923E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Prezentul</w:t>
            </w:r>
            <w:r w:rsidR="00BE259B" w:rsidRPr="008B07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act normativ nu se referă la acest subiect.</w:t>
            </w:r>
          </w:p>
          <w:p w:rsidR="00405DAE" w:rsidRPr="008B0739" w:rsidRDefault="00405DAE" w:rsidP="00F923E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739" w:rsidRPr="008B0739" w:rsidTr="00405DAE">
        <w:tc>
          <w:tcPr>
            <w:tcW w:w="9270" w:type="dxa"/>
            <w:gridSpan w:val="8"/>
          </w:tcPr>
          <w:p w:rsidR="00FF21AA" w:rsidRPr="008B0739" w:rsidRDefault="00FF21AA" w:rsidP="001E5DD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Alte informa</w:t>
            </w:r>
            <w:r w:rsidR="00DF4B54"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ț</w:t>
            </w:r>
            <w:r w:rsidRPr="008B0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405DAE" w:rsidRPr="008B0739" w:rsidRDefault="00FC4CD9" w:rsidP="007E633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22014" w:rsidRPr="008B0739">
              <w:rPr>
                <w:rFonts w:ascii="Times New Roman" w:eastAsia="Calibri" w:hAnsi="Times New Roman" w:cs="Times New Roman"/>
                <w:sz w:val="24"/>
                <w:szCs w:val="24"/>
              </w:rPr>
              <w:t>Nu sunt.</w:t>
            </w:r>
          </w:p>
        </w:tc>
      </w:tr>
    </w:tbl>
    <w:p w:rsidR="007E633F" w:rsidRPr="008B0739" w:rsidRDefault="003C48D9" w:rsidP="00EA11C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07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</w:p>
    <w:p w:rsidR="00093362" w:rsidRPr="008B0739" w:rsidRDefault="0042772A" w:rsidP="007E633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739">
        <w:rPr>
          <w:rFonts w:ascii="Times New Roman" w:eastAsia="Times New Roman" w:hAnsi="Times New Roman" w:cs="Times New Roman"/>
          <w:bCs/>
          <w:sz w:val="24"/>
          <w:szCs w:val="24"/>
        </w:rPr>
        <w:t>Fa</w:t>
      </w:r>
      <w:r w:rsidR="00DF4B54" w:rsidRPr="008B0739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ă de cele prezentate, a fost promovată prezenta Hotărâre a Guvernului </w:t>
      </w:r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>privind înscrierea un</w:t>
      </w:r>
      <w:r w:rsidR="000E653B" w:rsidRPr="008B0739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 imobil</w:t>
      </w:r>
      <w:r w:rsidR="000E653B" w:rsidRPr="008B073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 în inventarul centralizat al bunurilor din domeniul public al statului </w:t>
      </w:r>
      <w:proofErr w:type="spellStart"/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 darea acest</w:t>
      </w:r>
      <w:r w:rsidR="000E653B" w:rsidRPr="008B0739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 în administrarea Casei de Asigurări de Sănătate Vaslui, aflată în subordinea Casei </w:t>
      </w:r>
      <w:proofErr w:type="spellStart"/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>Naţionale</w:t>
      </w:r>
      <w:proofErr w:type="spellEnd"/>
      <w:r w:rsidR="00DA2D6F" w:rsidRPr="008B0739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Asigurări de Sănătate</w:t>
      </w:r>
      <w:r w:rsidRPr="008B07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772A" w:rsidRPr="008B0739" w:rsidRDefault="0042772A" w:rsidP="00EA11C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8B0739" w:rsidRPr="008B0739" w:rsidTr="00DF4B54">
        <w:tc>
          <w:tcPr>
            <w:tcW w:w="4927" w:type="dxa"/>
            <w:shd w:val="clear" w:color="auto" w:fill="auto"/>
          </w:tcPr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Ministrul sănătă</w:t>
            </w:r>
            <w:r w:rsidR="00DF4B54"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ț</w:t>
            </w: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</w:t>
            </w:r>
            <w:r w:rsidR="00DF4B54"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ș</w:t>
            </w: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edintele Casei Na</w:t>
            </w:r>
            <w:r w:rsidR="00DF4B54"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ț</w:t>
            </w: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ionale </w:t>
            </w:r>
          </w:p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 Asigurări de Sănătate</w:t>
            </w:r>
          </w:p>
        </w:tc>
      </w:tr>
      <w:tr w:rsidR="008B0739" w:rsidRPr="008B0739" w:rsidTr="00DF4B54">
        <w:tc>
          <w:tcPr>
            <w:tcW w:w="4927" w:type="dxa"/>
            <w:shd w:val="clear" w:color="auto" w:fill="auto"/>
          </w:tcPr>
          <w:p w:rsidR="00907490" w:rsidRPr="008B0739" w:rsidRDefault="00DC04B5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Alexandru-Florin ROGOBETE</w:t>
            </w:r>
          </w:p>
        </w:tc>
        <w:tc>
          <w:tcPr>
            <w:tcW w:w="4927" w:type="dxa"/>
            <w:shd w:val="clear" w:color="auto" w:fill="auto"/>
          </w:tcPr>
          <w:p w:rsidR="00907490" w:rsidRPr="008B0739" w:rsidRDefault="00B825A5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Horațiu-Remus MOLDOVAN</w:t>
            </w:r>
          </w:p>
        </w:tc>
      </w:tr>
      <w:tr w:rsidR="00907490" w:rsidRPr="008B0739" w:rsidTr="00DF4B54">
        <w:tc>
          <w:tcPr>
            <w:tcW w:w="4927" w:type="dxa"/>
            <w:shd w:val="clear" w:color="auto" w:fill="auto"/>
          </w:tcPr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07490" w:rsidRPr="008B0739" w:rsidRDefault="00907490" w:rsidP="00DF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Avizăm:</w:t>
      </w: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Viceprim-ministru</w:t>
      </w: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Marian NEAC</w:t>
      </w:r>
      <w:r w:rsidR="00DF4B54"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Ș</w:t>
      </w: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B04" w:rsidRPr="008B0739" w:rsidRDefault="00EA3B04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Ministrul finan</w:t>
      </w:r>
      <w:r w:rsidR="00DF4B54"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ț</w:t>
      </w: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elor,</w:t>
      </w:r>
    </w:p>
    <w:p w:rsidR="00EA3B04" w:rsidRPr="008B0739" w:rsidRDefault="00EA3B04" w:rsidP="00EA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Alexandru NAZARE</w:t>
      </w:r>
    </w:p>
    <w:p w:rsidR="00EA3B04" w:rsidRPr="008B0739" w:rsidRDefault="00EA3B04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B04" w:rsidRPr="008B0739" w:rsidRDefault="00EA3B04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Ministrul justi</w:t>
      </w:r>
      <w:r w:rsidR="00DF4B54"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ț</w:t>
      </w: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iei,</w:t>
      </w: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t>Radu MARINESCU</w:t>
      </w:r>
    </w:p>
    <w:p w:rsidR="00907490" w:rsidRPr="008B0739" w:rsidRDefault="00907490" w:rsidP="0090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7490" w:rsidRPr="008B0739" w:rsidRDefault="00907490" w:rsidP="003A1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739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501D8" w:rsidRPr="008B0739" w:rsidRDefault="00B501D8" w:rsidP="00907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739" w:rsidRPr="008B0739" w:rsidRDefault="008B07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B0739" w:rsidRPr="008B0739" w:rsidSect="006937F5">
      <w:foot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84" w:rsidRDefault="00E44784" w:rsidP="00222373">
      <w:pPr>
        <w:spacing w:after="0" w:line="240" w:lineRule="auto"/>
      </w:pPr>
      <w:r>
        <w:separator/>
      </w:r>
    </w:p>
  </w:endnote>
  <w:endnote w:type="continuationSeparator" w:id="0">
    <w:p w:rsidR="00E44784" w:rsidRDefault="00E44784" w:rsidP="002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40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33F" w:rsidRDefault="007E6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7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633F" w:rsidRDefault="007E6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84" w:rsidRDefault="00E44784" w:rsidP="00222373">
      <w:pPr>
        <w:spacing w:after="0" w:line="240" w:lineRule="auto"/>
      </w:pPr>
      <w:r>
        <w:separator/>
      </w:r>
    </w:p>
  </w:footnote>
  <w:footnote w:type="continuationSeparator" w:id="0">
    <w:p w:rsidR="00E44784" w:rsidRDefault="00E44784" w:rsidP="0022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4"/>
        <w:szCs w:val="24"/>
        <w:lang w:val="ro-RO"/>
      </w:rPr>
    </w:lvl>
  </w:abstractNum>
  <w:abstractNum w:abstractNumId="1" w15:restartNumberingAfterBreak="0">
    <w:nsid w:val="11D30B64"/>
    <w:multiLevelType w:val="hybridMultilevel"/>
    <w:tmpl w:val="923EE554"/>
    <w:lvl w:ilvl="0" w:tplc="2EB4F6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72A79"/>
    <w:multiLevelType w:val="hybridMultilevel"/>
    <w:tmpl w:val="37B8E8A2"/>
    <w:lvl w:ilvl="0" w:tplc="2876AB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5C9"/>
    <w:multiLevelType w:val="hybridMultilevel"/>
    <w:tmpl w:val="4D1EE53C"/>
    <w:lvl w:ilvl="0" w:tplc="2A6CEF86">
      <w:numFmt w:val="bullet"/>
      <w:lvlText w:val="-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28F"/>
    <w:multiLevelType w:val="hybridMultilevel"/>
    <w:tmpl w:val="C23623C2"/>
    <w:lvl w:ilvl="0" w:tplc="0409001B">
      <w:start w:val="1"/>
      <w:numFmt w:val="lowerRoman"/>
      <w:lvlText w:val="%1."/>
      <w:lvlJc w:val="righ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B052042"/>
    <w:multiLevelType w:val="hybridMultilevel"/>
    <w:tmpl w:val="68260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655D1"/>
    <w:multiLevelType w:val="hybridMultilevel"/>
    <w:tmpl w:val="4880C7E4"/>
    <w:lvl w:ilvl="0" w:tplc="330005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87D5245"/>
    <w:multiLevelType w:val="hybridMultilevel"/>
    <w:tmpl w:val="F1308802"/>
    <w:lvl w:ilvl="0" w:tplc="26B440E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D91C17"/>
    <w:multiLevelType w:val="hybridMultilevel"/>
    <w:tmpl w:val="45A427A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D533D"/>
    <w:multiLevelType w:val="hybridMultilevel"/>
    <w:tmpl w:val="E4F4D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10E59"/>
    <w:multiLevelType w:val="hybridMultilevel"/>
    <w:tmpl w:val="4EDCD8D2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A2CA5"/>
    <w:multiLevelType w:val="hybridMultilevel"/>
    <w:tmpl w:val="9FF055E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15494"/>
    <w:multiLevelType w:val="hybridMultilevel"/>
    <w:tmpl w:val="BFDE2862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0E2657B"/>
    <w:multiLevelType w:val="hybridMultilevel"/>
    <w:tmpl w:val="A8D2303C"/>
    <w:lvl w:ilvl="0" w:tplc="A248189E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53F52"/>
    <w:multiLevelType w:val="hybridMultilevel"/>
    <w:tmpl w:val="81E82AB8"/>
    <w:lvl w:ilvl="0" w:tplc="25A80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1CCC"/>
    <w:multiLevelType w:val="hybridMultilevel"/>
    <w:tmpl w:val="75F0E04A"/>
    <w:lvl w:ilvl="0" w:tplc="9EC460F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1537B2"/>
    <w:multiLevelType w:val="hybridMultilevel"/>
    <w:tmpl w:val="066CB0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52879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D27DD"/>
    <w:multiLevelType w:val="hybridMultilevel"/>
    <w:tmpl w:val="E31C32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5962460E"/>
    <w:multiLevelType w:val="hybridMultilevel"/>
    <w:tmpl w:val="456C8EAA"/>
    <w:lvl w:ilvl="0" w:tplc="F336252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43E6ECD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21"/>
  </w:num>
  <w:num w:numId="6">
    <w:abstractNumId w:val="18"/>
  </w:num>
  <w:num w:numId="7">
    <w:abstractNumId w:val="8"/>
  </w:num>
  <w:num w:numId="8">
    <w:abstractNumId w:val="20"/>
  </w:num>
  <w:num w:numId="9">
    <w:abstractNumId w:val="19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17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  <w:num w:numId="19">
    <w:abstractNumId w:val="7"/>
  </w:num>
  <w:num w:numId="20">
    <w:abstractNumId w:val="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98"/>
    <w:rsid w:val="00001003"/>
    <w:rsid w:val="00010D76"/>
    <w:rsid w:val="00013832"/>
    <w:rsid w:val="0001635D"/>
    <w:rsid w:val="00026B6A"/>
    <w:rsid w:val="0003551A"/>
    <w:rsid w:val="00040CCF"/>
    <w:rsid w:val="00045238"/>
    <w:rsid w:val="0004763A"/>
    <w:rsid w:val="00060D04"/>
    <w:rsid w:val="00062FFC"/>
    <w:rsid w:val="00063799"/>
    <w:rsid w:val="00070E9E"/>
    <w:rsid w:val="00073C64"/>
    <w:rsid w:val="00087209"/>
    <w:rsid w:val="00093362"/>
    <w:rsid w:val="0009749E"/>
    <w:rsid w:val="000A28E4"/>
    <w:rsid w:val="000A2BEC"/>
    <w:rsid w:val="000A7307"/>
    <w:rsid w:val="000A76DA"/>
    <w:rsid w:val="000B5CA1"/>
    <w:rsid w:val="000B5CBC"/>
    <w:rsid w:val="000C3957"/>
    <w:rsid w:val="000E653B"/>
    <w:rsid w:val="000F1074"/>
    <w:rsid w:val="00102937"/>
    <w:rsid w:val="00115525"/>
    <w:rsid w:val="00124DDD"/>
    <w:rsid w:val="00133811"/>
    <w:rsid w:val="0015762B"/>
    <w:rsid w:val="001661E3"/>
    <w:rsid w:val="00171A51"/>
    <w:rsid w:val="001804CD"/>
    <w:rsid w:val="00182B66"/>
    <w:rsid w:val="00190D48"/>
    <w:rsid w:val="001A7FD1"/>
    <w:rsid w:val="001C1A4E"/>
    <w:rsid w:val="001D4212"/>
    <w:rsid w:val="001E5DDC"/>
    <w:rsid w:val="00212A16"/>
    <w:rsid w:val="00213DF1"/>
    <w:rsid w:val="002149B3"/>
    <w:rsid w:val="002218E0"/>
    <w:rsid w:val="00222373"/>
    <w:rsid w:val="00222B3D"/>
    <w:rsid w:val="00241CBC"/>
    <w:rsid w:val="002433FD"/>
    <w:rsid w:val="00245607"/>
    <w:rsid w:val="0026427B"/>
    <w:rsid w:val="0027042C"/>
    <w:rsid w:val="002802C2"/>
    <w:rsid w:val="002867C5"/>
    <w:rsid w:val="002B3BA5"/>
    <w:rsid w:val="002B4B0E"/>
    <w:rsid w:val="002D315D"/>
    <w:rsid w:val="002D7E0A"/>
    <w:rsid w:val="002E2CC2"/>
    <w:rsid w:val="002F18E6"/>
    <w:rsid w:val="002F1B14"/>
    <w:rsid w:val="00311E37"/>
    <w:rsid w:val="00313496"/>
    <w:rsid w:val="00323FC5"/>
    <w:rsid w:val="003418A6"/>
    <w:rsid w:val="00360DFA"/>
    <w:rsid w:val="0037093F"/>
    <w:rsid w:val="00371C9F"/>
    <w:rsid w:val="00376B61"/>
    <w:rsid w:val="003842FF"/>
    <w:rsid w:val="003964C3"/>
    <w:rsid w:val="003A1D3F"/>
    <w:rsid w:val="003A64FA"/>
    <w:rsid w:val="003B40B4"/>
    <w:rsid w:val="003B6D91"/>
    <w:rsid w:val="003C48D9"/>
    <w:rsid w:val="003C7BBF"/>
    <w:rsid w:val="003D29FF"/>
    <w:rsid w:val="003E4149"/>
    <w:rsid w:val="003F6FB1"/>
    <w:rsid w:val="00400678"/>
    <w:rsid w:val="004025A0"/>
    <w:rsid w:val="00403533"/>
    <w:rsid w:val="00405DAE"/>
    <w:rsid w:val="00411EAC"/>
    <w:rsid w:val="00413B64"/>
    <w:rsid w:val="00416EDB"/>
    <w:rsid w:val="004213C7"/>
    <w:rsid w:val="004243F4"/>
    <w:rsid w:val="0042772A"/>
    <w:rsid w:val="004370E4"/>
    <w:rsid w:val="004413F2"/>
    <w:rsid w:val="00441B55"/>
    <w:rsid w:val="0046320F"/>
    <w:rsid w:val="00476B9C"/>
    <w:rsid w:val="004808CC"/>
    <w:rsid w:val="00483583"/>
    <w:rsid w:val="0049080F"/>
    <w:rsid w:val="004920FC"/>
    <w:rsid w:val="004A4C4D"/>
    <w:rsid w:val="004B3C6C"/>
    <w:rsid w:val="004C31F8"/>
    <w:rsid w:val="004D39E8"/>
    <w:rsid w:val="004E2C15"/>
    <w:rsid w:val="004F4C9D"/>
    <w:rsid w:val="00500F69"/>
    <w:rsid w:val="00511B5A"/>
    <w:rsid w:val="0052750F"/>
    <w:rsid w:val="00535DF3"/>
    <w:rsid w:val="005449FB"/>
    <w:rsid w:val="00553CF5"/>
    <w:rsid w:val="00560BB4"/>
    <w:rsid w:val="0056177A"/>
    <w:rsid w:val="005753B9"/>
    <w:rsid w:val="005840B6"/>
    <w:rsid w:val="00584272"/>
    <w:rsid w:val="0059323B"/>
    <w:rsid w:val="00597C5C"/>
    <w:rsid w:val="005A0EE9"/>
    <w:rsid w:val="005A1ED9"/>
    <w:rsid w:val="005A3015"/>
    <w:rsid w:val="005A5F1F"/>
    <w:rsid w:val="005C20CA"/>
    <w:rsid w:val="005D0484"/>
    <w:rsid w:val="005F4B94"/>
    <w:rsid w:val="00603CF1"/>
    <w:rsid w:val="00626E01"/>
    <w:rsid w:val="0063536A"/>
    <w:rsid w:val="00635C4A"/>
    <w:rsid w:val="006371B3"/>
    <w:rsid w:val="00643AA9"/>
    <w:rsid w:val="00654050"/>
    <w:rsid w:val="00660F4D"/>
    <w:rsid w:val="00663BDE"/>
    <w:rsid w:val="006715E5"/>
    <w:rsid w:val="00673EC6"/>
    <w:rsid w:val="0067494A"/>
    <w:rsid w:val="00677BFD"/>
    <w:rsid w:val="00687399"/>
    <w:rsid w:val="006937F5"/>
    <w:rsid w:val="006A1778"/>
    <w:rsid w:val="006D1104"/>
    <w:rsid w:val="006D40FB"/>
    <w:rsid w:val="006D57E8"/>
    <w:rsid w:val="006E3115"/>
    <w:rsid w:val="006F1D20"/>
    <w:rsid w:val="006F6B7A"/>
    <w:rsid w:val="006F6EF0"/>
    <w:rsid w:val="006F706D"/>
    <w:rsid w:val="006F7FF4"/>
    <w:rsid w:val="00705D80"/>
    <w:rsid w:val="00710324"/>
    <w:rsid w:val="00710DC2"/>
    <w:rsid w:val="00717B02"/>
    <w:rsid w:val="00722014"/>
    <w:rsid w:val="00730FEB"/>
    <w:rsid w:val="007573DD"/>
    <w:rsid w:val="00757AD5"/>
    <w:rsid w:val="00766F2C"/>
    <w:rsid w:val="007759D8"/>
    <w:rsid w:val="00794BB4"/>
    <w:rsid w:val="007A0B64"/>
    <w:rsid w:val="007C0100"/>
    <w:rsid w:val="007C6837"/>
    <w:rsid w:val="007E3ADE"/>
    <w:rsid w:val="007E48E7"/>
    <w:rsid w:val="007E49C5"/>
    <w:rsid w:val="007E633F"/>
    <w:rsid w:val="007F1219"/>
    <w:rsid w:val="007F2775"/>
    <w:rsid w:val="007F52BC"/>
    <w:rsid w:val="00801C60"/>
    <w:rsid w:val="00813798"/>
    <w:rsid w:val="008157F9"/>
    <w:rsid w:val="008245DE"/>
    <w:rsid w:val="0082658C"/>
    <w:rsid w:val="00826AEC"/>
    <w:rsid w:val="00835089"/>
    <w:rsid w:val="008427F1"/>
    <w:rsid w:val="00844973"/>
    <w:rsid w:val="00847CE0"/>
    <w:rsid w:val="00850426"/>
    <w:rsid w:val="0085218B"/>
    <w:rsid w:val="0085402E"/>
    <w:rsid w:val="00854FA3"/>
    <w:rsid w:val="008628A0"/>
    <w:rsid w:val="008628B8"/>
    <w:rsid w:val="00864EF0"/>
    <w:rsid w:val="008662B5"/>
    <w:rsid w:val="00880F11"/>
    <w:rsid w:val="00887292"/>
    <w:rsid w:val="00891DD1"/>
    <w:rsid w:val="0089668D"/>
    <w:rsid w:val="008A009E"/>
    <w:rsid w:val="008A4CF4"/>
    <w:rsid w:val="008B045E"/>
    <w:rsid w:val="008B0739"/>
    <w:rsid w:val="008C0306"/>
    <w:rsid w:val="008C2C53"/>
    <w:rsid w:val="008C6DC1"/>
    <w:rsid w:val="008D2701"/>
    <w:rsid w:val="008D7A32"/>
    <w:rsid w:val="008D7BFD"/>
    <w:rsid w:val="008E6A46"/>
    <w:rsid w:val="00900D12"/>
    <w:rsid w:val="009066CB"/>
    <w:rsid w:val="00907490"/>
    <w:rsid w:val="00907B85"/>
    <w:rsid w:val="00922D9F"/>
    <w:rsid w:val="00922FEB"/>
    <w:rsid w:val="0092342E"/>
    <w:rsid w:val="0092790E"/>
    <w:rsid w:val="00951673"/>
    <w:rsid w:val="00976C60"/>
    <w:rsid w:val="00992006"/>
    <w:rsid w:val="00996457"/>
    <w:rsid w:val="00996DEB"/>
    <w:rsid w:val="009A07DC"/>
    <w:rsid w:val="009B6BA6"/>
    <w:rsid w:val="009E44A5"/>
    <w:rsid w:val="009E69EF"/>
    <w:rsid w:val="00A110ED"/>
    <w:rsid w:val="00A15063"/>
    <w:rsid w:val="00A23BB2"/>
    <w:rsid w:val="00A3352B"/>
    <w:rsid w:val="00A359CE"/>
    <w:rsid w:val="00A5023B"/>
    <w:rsid w:val="00A5508F"/>
    <w:rsid w:val="00A60813"/>
    <w:rsid w:val="00A62B73"/>
    <w:rsid w:val="00A62BCD"/>
    <w:rsid w:val="00A70874"/>
    <w:rsid w:val="00A70D87"/>
    <w:rsid w:val="00A7474A"/>
    <w:rsid w:val="00A813F8"/>
    <w:rsid w:val="00A83748"/>
    <w:rsid w:val="00A92921"/>
    <w:rsid w:val="00A94BA3"/>
    <w:rsid w:val="00AC423E"/>
    <w:rsid w:val="00AC4B06"/>
    <w:rsid w:val="00AD4A1D"/>
    <w:rsid w:val="00AF66F2"/>
    <w:rsid w:val="00B011D3"/>
    <w:rsid w:val="00B02B20"/>
    <w:rsid w:val="00B05EEA"/>
    <w:rsid w:val="00B150F1"/>
    <w:rsid w:val="00B22CE8"/>
    <w:rsid w:val="00B22FD9"/>
    <w:rsid w:val="00B335B7"/>
    <w:rsid w:val="00B374FC"/>
    <w:rsid w:val="00B3786A"/>
    <w:rsid w:val="00B501D8"/>
    <w:rsid w:val="00B54354"/>
    <w:rsid w:val="00B5452A"/>
    <w:rsid w:val="00B62704"/>
    <w:rsid w:val="00B670BB"/>
    <w:rsid w:val="00B767BF"/>
    <w:rsid w:val="00B825A5"/>
    <w:rsid w:val="00B95F72"/>
    <w:rsid w:val="00B97EDE"/>
    <w:rsid w:val="00BA396A"/>
    <w:rsid w:val="00BA4616"/>
    <w:rsid w:val="00BC1B79"/>
    <w:rsid w:val="00BD014D"/>
    <w:rsid w:val="00BD19BE"/>
    <w:rsid w:val="00BD5D35"/>
    <w:rsid w:val="00BE259B"/>
    <w:rsid w:val="00BE4E12"/>
    <w:rsid w:val="00BF0242"/>
    <w:rsid w:val="00BF27A9"/>
    <w:rsid w:val="00BF7F9F"/>
    <w:rsid w:val="00C067A7"/>
    <w:rsid w:val="00C07F3D"/>
    <w:rsid w:val="00C101D5"/>
    <w:rsid w:val="00C14C9C"/>
    <w:rsid w:val="00C30038"/>
    <w:rsid w:val="00C36F63"/>
    <w:rsid w:val="00C37712"/>
    <w:rsid w:val="00C42393"/>
    <w:rsid w:val="00C442B8"/>
    <w:rsid w:val="00C50224"/>
    <w:rsid w:val="00C51871"/>
    <w:rsid w:val="00C51E5B"/>
    <w:rsid w:val="00C71A3F"/>
    <w:rsid w:val="00C761C8"/>
    <w:rsid w:val="00C8007F"/>
    <w:rsid w:val="00C82692"/>
    <w:rsid w:val="00C838B9"/>
    <w:rsid w:val="00C85CAA"/>
    <w:rsid w:val="00C94A69"/>
    <w:rsid w:val="00C95C93"/>
    <w:rsid w:val="00CA15D6"/>
    <w:rsid w:val="00CB35A7"/>
    <w:rsid w:val="00CC382F"/>
    <w:rsid w:val="00CC4BFD"/>
    <w:rsid w:val="00CC65B3"/>
    <w:rsid w:val="00CD6F6E"/>
    <w:rsid w:val="00CE16D3"/>
    <w:rsid w:val="00D024DE"/>
    <w:rsid w:val="00D06871"/>
    <w:rsid w:val="00D07784"/>
    <w:rsid w:val="00D15590"/>
    <w:rsid w:val="00D21A24"/>
    <w:rsid w:val="00D24536"/>
    <w:rsid w:val="00D26D5B"/>
    <w:rsid w:val="00D5500A"/>
    <w:rsid w:val="00D555A3"/>
    <w:rsid w:val="00D55D89"/>
    <w:rsid w:val="00D73BB8"/>
    <w:rsid w:val="00D768EC"/>
    <w:rsid w:val="00D9100E"/>
    <w:rsid w:val="00D96873"/>
    <w:rsid w:val="00DA2D6F"/>
    <w:rsid w:val="00DB11C6"/>
    <w:rsid w:val="00DB6E5F"/>
    <w:rsid w:val="00DC04B5"/>
    <w:rsid w:val="00DD2338"/>
    <w:rsid w:val="00DD73B4"/>
    <w:rsid w:val="00DF4B54"/>
    <w:rsid w:val="00E05687"/>
    <w:rsid w:val="00E12C52"/>
    <w:rsid w:val="00E236E5"/>
    <w:rsid w:val="00E27DAC"/>
    <w:rsid w:val="00E3682A"/>
    <w:rsid w:val="00E36A52"/>
    <w:rsid w:val="00E36D0C"/>
    <w:rsid w:val="00E37CF2"/>
    <w:rsid w:val="00E42CBE"/>
    <w:rsid w:val="00E44784"/>
    <w:rsid w:val="00E4603D"/>
    <w:rsid w:val="00E76AD6"/>
    <w:rsid w:val="00EA11CA"/>
    <w:rsid w:val="00EA3B04"/>
    <w:rsid w:val="00EB68BF"/>
    <w:rsid w:val="00ED1E71"/>
    <w:rsid w:val="00ED491F"/>
    <w:rsid w:val="00EE133C"/>
    <w:rsid w:val="00EE2A41"/>
    <w:rsid w:val="00EE4C57"/>
    <w:rsid w:val="00EF12C4"/>
    <w:rsid w:val="00EF35A4"/>
    <w:rsid w:val="00F159FB"/>
    <w:rsid w:val="00F402C3"/>
    <w:rsid w:val="00F60038"/>
    <w:rsid w:val="00F6063D"/>
    <w:rsid w:val="00F919DD"/>
    <w:rsid w:val="00F923EB"/>
    <w:rsid w:val="00F95D2C"/>
    <w:rsid w:val="00F97F8F"/>
    <w:rsid w:val="00FA2343"/>
    <w:rsid w:val="00FA7153"/>
    <w:rsid w:val="00FB1BDB"/>
    <w:rsid w:val="00FB3906"/>
    <w:rsid w:val="00FB7BF1"/>
    <w:rsid w:val="00FC0D42"/>
    <w:rsid w:val="00FC4CD9"/>
    <w:rsid w:val="00FD01D6"/>
    <w:rsid w:val="00FF21AA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435C0-6ABD-4476-895F-58E8EB5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0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D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762B"/>
    <w:pPr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2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7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2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73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5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050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050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4CE5-E296-408C-A11E-F144F8AD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Culea</dc:creator>
  <cp:lastModifiedBy>Laura MALINETESCU</cp:lastModifiedBy>
  <cp:revision>7</cp:revision>
  <cp:lastPrinted>2025-07-17T08:09:00Z</cp:lastPrinted>
  <dcterms:created xsi:type="dcterms:W3CDTF">2025-07-14T09:53:00Z</dcterms:created>
  <dcterms:modified xsi:type="dcterms:W3CDTF">2025-07-28T06:53:00Z</dcterms:modified>
</cp:coreProperties>
</file>