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6C" w:rsidRDefault="0083386C">
      <w:pPr>
        <w:pStyle w:val="NoSpacing"/>
        <w:rPr>
          <w:lang w:val="ro-RO"/>
        </w:rPr>
      </w:pPr>
      <w:bookmarkStart w:id="0" w:name="_GoBack"/>
      <w:bookmarkEnd w:id="0"/>
    </w:p>
    <w:p w:rsidR="0083386C" w:rsidRDefault="00300E7F">
      <w:pPr>
        <w:pStyle w:val="NoSpacing"/>
        <w:ind w:firstLine="720"/>
        <w:rPr>
          <w:rFonts w:ascii="Trebuchet MS" w:hAnsi="Trebuchet MS"/>
          <w:sz w:val="18"/>
          <w:szCs w:val="18"/>
          <w:lang w:val="ro-RO"/>
        </w:rPr>
      </w:pPr>
      <w:r>
        <w:rPr>
          <w:rFonts w:ascii="Trebuchet MS" w:hAnsi="Trebuchet MS"/>
          <w:sz w:val="18"/>
          <w:szCs w:val="18"/>
          <w:lang w:val="ro-RO"/>
        </w:rPr>
        <w:t>Nr. DMU __</w:t>
      </w:r>
      <w:r>
        <w:rPr>
          <w:rFonts w:ascii="Trebuchet MS" w:hAnsi="Trebuchet MS"/>
          <w:sz w:val="18"/>
          <w:szCs w:val="18"/>
          <w:lang w:val="ro-RO"/>
        </w:rPr>
        <w:t>_</w:t>
      </w:r>
      <w:r>
        <w:rPr>
          <w:rFonts w:ascii="Trebuchet MS" w:hAnsi="Trebuchet MS"/>
          <w:sz w:val="18"/>
          <w:szCs w:val="18"/>
          <w:lang w:val="ro-RO"/>
        </w:rPr>
        <w:t>__/___________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     </w:t>
      </w:r>
    </w:p>
    <w:p w:rsidR="0083386C" w:rsidRDefault="00300E7F">
      <w:pPr>
        <w:spacing w:after="0" w:line="240" w:lineRule="auto"/>
        <w:ind w:left="709" w:firstLineChars="100" w:firstLine="241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AVIZAT,                                                                     </w:t>
      </w:r>
      <w:r>
        <w:rPr>
          <w:rFonts w:ascii="Trebuchet MS" w:hAnsi="Trebuchet MS"/>
          <w:b/>
          <w:sz w:val="24"/>
          <w:szCs w:val="24"/>
          <w:lang w:val="ro-RO"/>
        </w:rPr>
        <w:t xml:space="preserve">         </w:t>
      </w:r>
      <w:r>
        <w:rPr>
          <w:rFonts w:ascii="Trebuchet MS" w:hAnsi="Trebuchet MS"/>
          <w:b/>
          <w:sz w:val="24"/>
          <w:szCs w:val="24"/>
          <w:lang w:val="ro-RO"/>
        </w:rPr>
        <w:t>APROB,</w:t>
      </w:r>
    </w:p>
    <w:p w:rsidR="0083386C" w:rsidRDefault="00300E7F">
      <w:pPr>
        <w:spacing w:after="0" w:line="240" w:lineRule="auto"/>
        <w:ind w:firstLineChars="200" w:firstLine="482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>SECRETAR DE STAT</w:t>
      </w:r>
      <w:r>
        <w:rPr>
          <w:rFonts w:ascii="Trebuchet MS" w:hAnsi="Trebuchet MS"/>
          <w:b/>
          <w:sz w:val="24"/>
          <w:szCs w:val="24"/>
          <w:lang w:val="ro-RO"/>
        </w:rPr>
        <w:tab/>
      </w:r>
      <w:r>
        <w:rPr>
          <w:rFonts w:ascii="Trebuchet MS" w:hAnsi="Trebuchet MS"/>
          <w:b/>
          <w:sz w:val="24"/>
          <w:szCs w:val="24"/>
          <w:lang w:val="ro-RO"/>
        </w:rPr>
        <w:tab/>
      </w:r>
      <w:r>
        <w:rPr>
          <w:rFonts w:ascii="Trebuchet MS" w:hAnsi="Trebuchet MS"/>
          <w:b/>
          <w:sz w:val="24"/>
          <w:szCs w:val="24"/>
          <w:lang w:val="ro-RO"/>
        </w:rPr>
        <w:tab/>
      </w:r>
      <w:r>
        <w:rPr>
          <w:rFonts w:ascii="Trebuchet MS" w:hAnsi="Trebuchet MS"/>
          <w:b/>
          <w:sz w:val="24"/>
          <w:szCs w:val="24"/>
          <w:lang w:val="ro-RO"/>
        </w:rPr>
        <w:tab/>
      </w:r>
      <w:r>
        <w:rPr>
          <w:rFonts w:ascii="Trebuchet MS" w:hAnsi="Trebuchet MS"/>
          <w:b/>
          <w:sz w:val="24"/>
          <w:szCs w:val="24"/>
          <w:lang w:val="ro-RO"/>
        </w:rPr>
        <w:tab/>
        <w:t xml:space="preserve">   </w:t>
      </w:r>
      <w:r>
        <w:rPr>
          <w:rFonts w:ascii="Trebuchet MS" w:hAnsi="Trebuchet MS"/>
          <w:b/>
          <w:sz w:val="24"/>
          <w:szCs w:val="24"/>
          <w:lang w:val="ro-RO"/>
        </w:rPr>
        <w:t xml:space="preserve">            </w:t>
      </w:r>
      <w:r>
        <w:rPr>
          <w:rFonts w:ascii="Trebuchet MS" w:hAnsi="Trebuchet MS"/>
          <w:b/>
          <w:sz w:val="24"/>
          <w:szCs w:val="24"/>
          <w:lang w:val="ro-RO"/>
        </w:rPr>
        <w:t>MINISTRUL SĂNĂTĂȚII</w:t>
      </w:r>
    </w:p>
    <w:p w:rsidR="0083386C" w:rsidRDefault="00300E7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>Claudiu Constantin DAMIAN</w:t>
      </w:r>
      <w:r>
        <w:rPr>
          <w:rFonts w:ascii="Trebuchet MS" w:hAnsi="Trebuchet MS"/>
          <w:b/>
          <w:sz w:val="24"/>
          <w:szCs w:val="24"/>
          <w:lang w:val="ro-RO"/>
        </w:rPr>
        <w:t xml:space="preserve">                    </w:t>
      </w:r>
      <w:r>
        <w:rPr>
          <w:rFonts w:ascii="Trebuchet MS" w:hAnsi="Trebuchet MS"/>
          <w:b/>
          <w:sz w:val="24"/>
          <w:szCs w:val="24"/>
          <w:lang w:val="ro-RO"/>
        </w:rPr>
        <w:t xml:space="preserve">                            </w:t>
      </w:r>
      <w:r>
        <w:rPr>
          <w:rFonts w:ascii="Trebuchet MS" w:hAnsi="Trebuchet MS"/>
          <w:b/>
          <w:sz w:val="24"/>
          <w:szCs w:val="24"/>
          <w:lang w:val="ro-RO"/>
        </w:rPr>
        <w:t xml:space="preserve">Alexandru </w:t>
      </w:r>
      <w:r>
        <w:rPr>
          <w:rFonts w:ascii="Trebuchet MS" w:hAnsi="Trebuchet MS"/>
          <w:b/>
          <w:sz w:val="24"/>
          <w:szCs w:val="24"/>
          <w:lang w:val="ro-RO"/>
        </w:rPr>
        <w:t xml:space="preserve">Florin </w:t>
      </w:r>
      <w:r>
        <w:rPr>
          <w:rFonts w:ascii="Trebuchet MS" w:hAnsi="Trebuchet MS"/>
          <w:b/>
          <w:sz w:val="24"/>
          <w:szCs w:val="24"/>
          <w:lang w:val="ro-RO"/>
        </w:rPr>
        <w:t>R</w:t>
      </w:r>
      <w:r>
        <w:rPr>
          <w:rFonts w:ascii="Trebuchet MS" w:hAnsi="Trebuchet MS"/>
          <w:b/>
          <w:sz w:val="24"/>
          <w:szCs w:val="24"/>
          <w:lang w:val="ro-RO"/>
        </w:rPr>
        <w:t>OGOBETE</w:t>
      </w: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                                                                                 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 xml:space="preserve"> </w:t>
      </w:r>
    </w:p>
    <w:p w:rsidR="0083386C" w:rsidRDefault="00300E7F">
      <w:pPr>
        <w:spacing w:after="0" w:line="240" w:lineRule="auto"/>
        <w:ind w:left="709"/>
        <w:jc w:val="center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>REFERAT DE APROBARE</w:t>
      </w: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În conformitate cu prevederile art.100 din Legea nr. 95/2006 privind reforma în domeniul sănătăţii, republicată,  cu comple</w:t>
      </w:r>
      <w:r>
        <w:rPr>
          <w:rFonts w:ascii="Trebuchet MS" w:hAnsi="Trebuchet MS"/>
          <w:sz w:val="24"/>
          <w:szCs w:val="24"/>
          <w:lang w:val="ro-RO"/>
        </w:rPr>
        <w:t>tările și modificările ulterioare: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„Art.100 - (1) Finanţarea acordării asistenţei medicale publice de urgenţă se face prin bugetul Ministerului Sănătăţii de la bugetul de stat şi din venituri proprii, prin bugetul Ministerului Afacerilor Interne, prin buge</w:t>
      </w:r>
      <w:r>
        <w:rPr>
          <w:rFonts w:ascii="Trebuchet MS" w:hAnsi="Trebuchet MS"/>
          <w:i/>
          <w:sz w:val="24"/>
          <w:szCs w:val="24"/>
          <w:lang w:val="ro-RO"/>
        </w:rPr>
        <w:t>tele ministerelor şi instituţiilor cu reţea sanitară proprie, din donaţii şi sponsorizări, precum şi din alte surse prevăzute prin lege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(...)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(7) UPU şi CPU din cadrul spitalelor de urgenţă sunt finanţate din bugetul de stat, prin bugetul Ministerului Sănă</w:t>
      </w:r>
      <w:r>
        <w:rPr>
          <w:rFonts w:ascii="Trebuchet MS" w:hAnsi="Trebuchet MS"/>
          <w:i/>
          <w:sz w:val="24"/>
          <w:szCs w:val="24"/>
          <w:lang w:val="ro-RO"/>
        </w:rPr>
        <w:t>tăţii sau prin bugetele ministerelor şi instituţiilor cu reţea sanitară proprie, după caz, cu sumele aferente următoarelor cheltuieli: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 xml:space="preserve">a) cheltuieli cu personalul încadrat sau cu contract individual de muncă cu timp parţial pentru efectuarea gărzilor care </w:t>
      </w:r>
      <w:r>
        <w:rPr>
          <w:rFonts w:ascii="Trebuchet MS" w:hAnsi="Trebuchet MS"/>
          <w:i/>
          <w:sz w:val="24"/>
          <w:szCs w:val="24"/>
          <w:lang w:val="ro-RO"/>
        </w:rPr>
        <w:t>desfăşoară activitatea în UPU/CPU în mod nemijlocit;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b) cheltuieli cu medicamente şi materiale sanitare;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 xml:space="preserve">c) cheltuieli ocazionate de investigaţiile paraclinice pentru cazurile rezolvate în aceste structuri, fără a fi necesară internarea lor în unitatea </w:t>
      </w:r>
      <w:r>
        <w:rPr>
          <w:rFonts w:ascii="Trebuchet MS" w:hAnsi="Trebuchet MS"/>
          <w:i/>
          <w:sz w:val="24"/>
          <w:szCs w:val="24"/>
          <w:lang w:val="ro-RO"/>
        </w:rPr>
        <w:t>sanitară din care face parte respectiva UPU sau respectivul CPU, inclusiv cheltuieli necesare pentru repararea, întreţinerea, asigurarea şi verificarea echipamentelor medicale din dotarea UPU/CPU, pentru piesele de schimb, cheltuieli cu consumabile de biro</w:t>
      </w:r>
      <w:r>
        <w:rPr>
          <w:rFonts w:ascii="Trebuchet MS" w:hAnsi="Trebuchet MS"/>
          <w:i/>
          <w:sz w:val="24"/>
          <w:szCs w:val="24"/>
          <w:lang w:val="ro-RO"/>
        </w:rPr>
        <w:t>tică şi papetărie, cheltuieli cu reactivi şi consumabile pentru investigaţiile imagistice;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d) cheltuieli cu materiale de curăţenie şi dezinfectanţi;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 xml:space="preserve">e) cheltuieli cu asigurări, piese de schimb, carburanţi şi servicii de întreţinere a autospecialelor din </w:t>
      </w:r>
      <w:r>
        <w:rPr>
          <w:rFonts w:ascii="Trebuchet MS" w:hAnsi="Trebuchet MS"/>
          <w:i/>
          <w:sz w:val="24"/>
          <w:szCs w:val="24"/>
          <w:lang w:val="ro-RO"/>
        </w:rPr>
        <w:t>dotarea UPU care au în structură şi SMURD.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(71) Următoarele tipuri de cheltuieli nu sunt finanţate de la bugetul de stat şi sunt suportate din fondurile unităţilor sanitare în care funcţionează UPU/CPU, cu excepţia situaţiei în care sunt suportate în condi</w:t>
      </w:r>
      <w:r>
        <w:rPr>
          <w:rFonts w:ascii="Trebuchet MS" w:hAnsi="Trebuchet MS"/>
          <w:i/>
          <w:sz w:val="24"/>
          <w:szCs w:val="24"/>
          <w:lang w:val="ro-RO"/>
        </w:rPr>
        <w:t>ţiile art. 193 alin. (6):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a) cheltuieli de întreţinere şi funcţionare, precum alimentarea cu apă, energie electrică, energie termică, servicii de telefonie, poştă, abonamente de televiziune, servicii internet;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b) cheltuielile cu prestări servicii de spălăt</w:t>
      </w:r>
      <w:r>
        <w:rPr>
          <w:rFonts w:ascii="Trebuchet MS" w:hAnsi="Trebuchet MS"/>
          <w:i/>
          <w:sz w:val="24"/>
          <w:szCs w:val="24"/>
          <w:lang w:val="ro-RO"/>
        </w:rPr>
        <w:t>orie şi curăţătorie;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c) cheltuielile cu prestări servicii de pază.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(10) UPU şi CPU din cadrul spitalelor cu structuri de urgenţă aprobate potrivit dispoziţiilor legale, alte decât cele prevăzute la alin. (7), precum şi activităţile desfăşurate în camera de</w:t>
      </w:r>
      <w:r>
        <w:rPr>
          <w:rFonts w:ascii="Trebuchet MS" w:hAnsi="Trebuchet MS"/>
          <w:i/>
          <w:sz w:val="24"/>
          <w:szCs w:val="24"/>
          <w:lang w:val="ro-RO"/>
        </w:rPr>
        <w:t xml:space="preserve"> gardă sunt finanţate din bugetul Fondului naţional unic de asigurări sociale de sănătate şi sunt cuprinse în structura tarifului pe caz rezolvat.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(...)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lastRenderedPageBreak/>
        <w:t xml:space="preserve">(11) UPU şi CPU prevăzute la alin. (10) pot fi finanţate în condiţiile prevăzute la alin. (7), dacă în </w:t>
      </w:r>
      <w:r>
        <w:rPr>
          <w:rFonts w:ascii="Trebuchet MS" w:hAnsi="Trebuchet MS"/>
          <w:i/>
          <w:sz w:val="24"/>
          <w:szCs w:val="24"/>
          <w:lang w:val="ro-RO"/>
        </w:rPr>
        <w:t>urma evaluării, efectuată de către Ministerul Sănătăţii şi comisia de specialitate a Ministerului Sănătăţii, se constată că acestea îndeplinesc condiţiile de organizare şi dotare prevăzute de legislaţia în domeniu.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(12) UPU din cadrul spitalelor judeţene d</w:t>
      </w:r>
      <w:r>
        <w:rPr>
          <w:rFonts w:ascii="Trebuchet MS" w:hAnsi="Trebuchet MS"/>
          <w:i/>
          <w:sz w:val="24"/>
          <w:szCs w:val="24"/>
          <w:lang w:val="ro-RO"/>
        </w:rPr>
        <w:t>e urgenţă pot include în structura proprie CPU din unităţile sanitare de pe raza administrativ-teritorială a judeţului respectiv.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>(13) Finanţarea CPU prevăzute la alin. (12) este asigurată din bugetul Ministerului Sănătăţii, de la bugetul de stat şi din ve</w:t>
      </w:r>
      <w:r>
        <w:rPr>
          <w:rFonts w:ascii="Trebuchet MS" w:hAnsi="Trebuchet MS"/>
          <w:i/>
          <w:sz w:val="24"/>
          <w:szCs w:val="24"/>
          <w:lang w:val="ro-RO"/>
        </w:rPr>
        <w:t>niturile proprii ale acestui minister, în limita bugetului aprobat.</w:t>
      </w: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i/>
          <w:sz w:val="24"/>
          <w:szCs w:val="24"/>
          <w:lang w:val="ro-RO"/>
        </w:rPr>
      </w:pPr>
      <w:r>
        <w:rPr>
          <w:rFonts w:ascii="Trebuchet MS" w:hAnsi="Trebuchet MS"/>
          <w:i/>
          <w:sz w:val="24"/>
          <w:szCs w:val="24"/>
          <w:lang w:val="ro-RO"/>
        </w:rPr>
        <w:t xml:space="preserve">(14) Aprobarea includerii CPU în structura unei UPU se face prin ordin al ministrului sănătăţii, în limita bugetului alocat finanţării UPU şi în baza unor criterii stabilite prin ordin al </w:t>
      </w:r>
      <w:r>
        <w:rPr>
          <w:rFonts w:ascii="Trebuchet MS" w:hAnsi="Trebuchet MS"/>
          <w:i/>
          <w:sz w:val="24"/>
          <w:szCs w:val="24"/>
          <w:lang w:val="ro-RO"/>
        </w:rPr>
        <w:t>ministrului sănătăţii la propunerea comisiei de specialitate din cadrul Ministerului Sănătăţii.”</w:t>
      </w: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Compartimentele de Primire a Urgențelor din cadrul spitalelor cu structuri de urgenţă aprobate, pot fi finanţate de la bugetul de stat prin bugetul Ministerul</w:t>
      </w:r>
      <w:r>
        <w:rPr>
          <w:rFonts w:ascii="Trebuchet MS" w:hAnsi="Trebuchet MS"/>
          <w:sz w:val="24"/>
          <w:szCs w:val="24"/>
          <w:lang w:val="ro-RO"/>
        </w:rPr>
        <w:t xml:space="preserve">ui Sănătăţii dacă în urma evaluării de către Ministerul Sănătăţii și comisia de specialitate a Ministerului Sănătăţii se constată că îndeplinesc condiţiile de organizare şi dotare prevăzute de Ordinul ministrului sănătăţii nr. 1706/2007 privind conducerea </w:t>
      </w:r>
      <w:r>
        <w:rPr>
          <w:rFonts w:ascii="Trebuchet MS" w:hAnsi="Trebuchet MS"/>
          <w:sz w:val="24"/>
          <w:szCs w:val="24"/>
          <w:lang w:val="ro-RO"/>
        </w:rPr>
        <w:t>ș</w:t>
      </w:r>
      <w:r>
        <w:rPr>
          <w:rFonts w:ascii="Trebuchet MS" w:hAnsi="Trebuchet MS"/>
          <w:sz w:val="24"/>
          <w:szCs w:val="24"/>
          <w:lang w:val="ro-RO"/>
        </w:rPr>
        <w:t>i organizarea unităților și compartimentelor de primire a urgențelor.</w:t>
      </w: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Conform OMS nr. 659/28.02.2025, a fost aprobată comisia de evaluare a Compartimentului de Primiri Urgențe din cadrul Spitalului Orășenesc „Dr. Caius Tiberiu Spârchez” Zărnești, comisie </w:t>
      </w:r>
      <w:r>
        <w:rPr>
          <w:rFonts w:ascii="Trebuchet MS" w:hAnsi="Trebuchet MS"/>
          <w:sz w:val="24"/>
          <w:szCs w:val="24"/>
          <w:lang w:val="ro-RO"/>
        </w:rPr>
        <w:t xml:space="preserve">care în raportul de evaluare </w:t>
      </w:r>
      <w:r>
        <w:rPr>
          <w:rFonts w:ascii="Trebuchet MS" w:hAnsi="Trebuchet MS"/>
          <w:sz w:val="24"/>
          <w:szCs w:val="24"/>
          <w:lang w:val="ro-RO"/>
        </w:rPr>
        <w:t xml:space="preserve">nr. 1217 </w:t>
      </w:r>
      <w:r>
        <w:rPr>
          <w:rFonts w:ascii="Trebuchet MS" w:hAnsi="Trebuchet MS"/>
          <w:sz w:val="24"/>
          <w:szCs w:val="24"/>
          <w:lang w:val="ro-RO"/>
        </w:rPr>
        <w:t>din data de 05.03.2025, a reținut că sunt îndeplinite criteriile de organizare și dotare a C</w:t>
      </w:r>
      <w:r>
        <w:rPr>
          <w:rFonts w:ascii="Trebuchet MS" w:hAnsi="Trebuchet MS"/>
          <w:sz w:val="24"/>
          <w:szCs w:val="24"/>
          <w:lang w:val="ro-RO"/>
        </w:rPr>
        <w:t>o</w:t>
      </w:r>
      <w:r>
        <w:rPr>
          <w:rFonts w:ascii="Trebuchet MS" w:hAnsi="Trebuchet MS"/>
          <w:sz w:val="24"/>
          <w:szCs w:val="24"/>
          <w:lang w:val="ro-RO"/>
        </w:rPr>
        <w:t>mpartimentului Primiri Urgențe al Spitalului Orășenesc „Dr. Caius Tiberiu Spârchez” Zărnești, în vederea preluării în finanța</w:t>
      </w:r>
      <w:r>
        <w:rPr>
          <w:rFonts w:ascii="Trebuchet MS" w:hAnsi="Trebuchet MS"/>
          <w:sz w:val="24"/>
          <w:szCs w:val="24"/>
          <w:lang w:val="ro-RO"/>
        </w:rPr>
        <w:t>re a structurii de primiri urgențe din bugetul de stat, prin bugetul Ministerului Sănătății.</w:t>
      </w: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Prin prezentul proiect de ordin propunem preluarea în finanțare, începând cu data de 01</w:t>
      </w:r>
      <w:r>
        <w:rPr>
          <w:rFonts w:ascii="Trebuchet MS" w:hAnsi="Trebuchet MS"/>
          <w:sz w:val="24"/>
          <w:szCs w:val="24"/>
          <w:lang w:val="ro-RO"/>
        </w:rPr>
        <w:t xml:space="preserve"> august </w:t>
      </w:r>
      <w:r>
        <w:rPr>
          <w:rFonts w:ascii="Trebuchet MS" w:hAnsi="Trebuchet MS"/>
          <w:sz w:val="24"/>
          <w:szCs w:val="24"/>
          <w:lang w:val="ro-RO"/>
        </w:rPr>
        <w:t>2025, de la bugetul de stat prin bugetul  Ministerului Sănătăţii a C</w:t>
      </w:r>
      <w:r>
        <w:rPr>
          <w:rFonts w:ascii="Trebuchet MS" w:hAnsi="Trebuchet MS"/>
          <w:sz w:val="24"/>
          <w:szCs w:val="24"/>
          <w:lang w:val="ro-RO"/>
        </w:rPr>
        <w:t xml:space="preserve">ompartimentului de Primiri Urgențe din cadrul Spitalului Orășenesc „Dr. Caius Tiberiu Spârchez” Zărnești, care a primit avizul favorabil al Comisiei Interministeriale pentru Suport Tehnic, conform </w:t>
      </w:r>
      <w:r>
        <w:rPr>
          <w:rFonts w:ascii="Trebuchet MS" w:hAnsi="Trebuchet MS"/>
          <w:sz w:val="24"/>
          <w:szCs w:val="24"/>
          <w:lang w:val="ro-RO"/>
        </w:rPr>
        <w:t>adresei nr. 1778006/03.04.2025 a comisiei (MS Reg1/10673/11</w:t>
      </w:r>
      <w:r>
        <w:rPr>
          <w:rFonts w:ascii="Trebuchet MS" w:hAnsi="Trebuchet MS"/>
          <w:sz w:val="24"/>
          <w:szCs w:val="24"/>
          <w:lang w:val="ro-RO"/>
        </w:rPr>
        <w:t xml:space="preserve">.04.2025). </w:t>
      </w: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Finanțarea Compartimentelor de Primire a Urgențelor din cadrul spitalelor cu structuri de urgență este asigurată de la bugetul de stat, prin bugetul Ministerului Sănătății, în limita bugetului aprobat pentru finanțarea acordării asistenței medi</w:t>
      </w:r>
      <w:r>
        <w:rPr>
          <w:rFonts w:ascii="Trebuchet MS" w:hAnsi="Trebuchet MS"/>
          <w:sz w:val="24"/>
          <w:szCs w:val="24"/>
          <w:lang w:val="ro-RO"/>
        </w:rPr>
        <w:t>cale publice de urgență.</w:t>
      </w:r>
    </w:p>
    <w:p w:rsidR="0083386C" w:rsidRDefault="00300E7F">
      <w:pPr>
        <w:spacing w:after="0" w:line="240" w:lineRule="auto"/>
        <w:ind w:firstLine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Față de cele prezentate, vă transmitem alaturat, proiectul de ordin </w:t>
      </w:r>
      <w:r>
        <w:rPr>
          <w:rFonts w:ascii="Trebuchet MS" w:hAnsi="Trebuchet MS"/>
          <w:b/>
          <w:sz w:val="24"/>
          <w:szCs w:val="24"/>
          <w:lang w:val="ro-RO"/>
        </w:rPr>
        <w:t>privind aprobarea finanțării de la bugetul de stat prin bugetul Ministerului Sănătății a Compartimentului de Primiri Urgențe din cadrul Spitalului Orășenesc „Dr. C</w:t>
      </w:r>
      <w:r>
        <w:rPr>
          <w:rFonts w:ascii="Trebuchet MS" w:hAnsi="Trebuchet MS"/>
          <w:b/>
          <w:sz w:val="24"/>
          <w:szCs w:val="24"/>
          <w:lang w:val="ro-RO"/>
        </w:rPr>
        <w:t xml:space="preserve">aius Tiberiu Spârchez” Zărnești începând cu 1 </w:t>
      </w:r>
      <w:r>
        <w:rPr>
          <w:rFonts w:ascii="Trebuchet MS" w:hAnsi="Trebuchet MS"/>
          <w:b/>
          <w:sz w:val="24"/>
          <w:szCs w:val="24"/>
          <w:lang w:val="ro-RO"/>
        </w:rPr>
        <w:t>august</w:t>
      </w:r>
      <w:r>
        <w:rPr>
          <w:rFonts w:ascii="Trebuchet MS" w:hAnsi="Trebuchet MS"/>
          <w:b/>
          <w:sz w:val="24"/>
          <w:szCs w:val="24"/>
          <w:lang w:val="ro-RO"/>
        </w:rPr>
        <w:t xml:space="preserve">  2025,  </w:t>
      </w:r>
      <w:r>
        <w:rPr>
          <w:rFonts w:ascii="Trebuchet MS" w:hAnsi="Trebuchet MS"/>
          <w:sz w:val="24"/>
          <w:szCs w:val="24"/>
          <w:lang w:val="ro-RO"/>
        </w:rPr>
        <w:t>pe care dacă sunteți de acord, vă rugăm să-l aprobați.</w:t>
      </w: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ind w:left="709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Cu deosebită considerație,</w:t>
      </w:r>
    </w:p>
    <w:p w:rsidR="0083386C" w:rsidRDefault="0083386C">
      <w:pPr>
        <w:spacing w:after="0" w:line="240" w:lineRule="auto"/>
        <w:ind w:left="709"/>
        <w:jc w:val="both"/>
        <w:rPr>
          <w:rFonts w:ascii="Trebuchet MS" w:hAnsi="Trebuchet MS"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DIRECTOR,</w:t>
      </w:r>
    </w:p>
    <w:p w:rsidR="0083386C" w:rsidRDefault="00300E7F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Angelica PROTEASA</w:t>
      </w:r>
    </w:p>
    <w:p w:rsidR="0083386C" w:rsidRDefault="0083386C">
      <w:pPr>
        <w:spacing w:after="0" w:line="240" w:lineRule="auto"/>
        <w:ind w:left="5760" w:firstLine="720"/>
        <w:jc w:val="center"/>
        <w:rPr>
          <w:rFonts w:ascii="Trebuchet MS" w:hAnsi="Trebuchet MS"/>
          <w:b/>
          <w:sz w:val="24"/>
          <w:szCs w:val="24"/>
          <w:lang w:val="ro-RO"/>
        </w:rPr>
      </w:pPr>
    </w:p>
    <w:p w:rsidR="0083386C" w:rsidRDefault="00300E7F">
      <w:pPr>
        <w:spacing w:after="0" w:line="240" w:lineRule="auto"/>
        <w:ind w:left="5760"/>
        <w:rPr>
          <w:rFonts w:ascii="Trebuchet MS" w:hAnsi="Trebuchet MS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 xml:space="preserve">       </w:t>
      </w:r>
      <w:r>
        <w:rPr>
          <w:rFonts w:ascii="Trebuchet MS" w:hAnsi="Trebuchet MS"/>
          <w:sz w:val="21"/>
          <w:szCs w:val="21"/>
          <w:lang w:val="ro-RO"/>
        </w:rPr>
        <w:t>cons. sup. Loredana-Nicoleta IANCU</w:t>
      </w:r>
      <w:r>
        <w:rPr>
          <w:rFonts w:ascii="Trebuchet MS" w:hAnsi="Trebuchet MS"/>
          <w:lang w:val="ro-RO"/>
        </w:rPr>
        <w:t xml:space="preserve"> </w:t>
      </w:r>
    </w:p>
    <w:sectPr w:rsidR="0083386C">
      <w:headerReference w:type="default" r:id="rId7"/>
      <w:footerReference w:type="default" r:id="rId8"/>
      <w:pgSz w:w="11907" w:h="16839"/>
      <w:pgMar w:top="1440" w:right="1080" w:bottom="1440" w:left="108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7F" w:rsidRDefault="00300E7F">
      <w:pPr>
        <w:spacing w:line="240" w:lineRule="auto"/>
      </w:pPr>
      <w:r>
        <w:separator/>
      </w:r>
    </w:p>
  </w:endnote>
  <w:endnote w:type="continuationSeparator" w:id="0">
    <w:p w:rsidR="00300E7F" w:rsidRDefault="0030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6C" w:rsidRDefault="00300E7F">
    <w:pPr>
      <w:pStyle w:val="Footer"/>
      <w:jc w:val="center"/>
      <w:rPr>
        <w:rFonts w:ascii="Times New Roman" w:hAnsi="Times New Roman"/>
        <w:color w:val="002060"/>
        <w:sz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72390</wp:posOffset>
              </wp:positionV>
              <wp:extent cx="56769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3pt;margin-top:5.7pt;height:0pt;width:447pt;z-index:251661312;mso-width-relative:page;mso-height-relative:page;" filled="f" stroked="t" coordsize="21600,21600" o:gfxdata="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SDvy01gAAAAcBAAAPAAAAAAAA&#10;AAEAIAAAACIAAABkcnMvZG93bnJldi54bWxQSwECFAAUAAAACACHTuJA0Y50R9sBAADBAwAADgAA&#10;AAAAAAABACAAAAAlAQAAZHJzL2Uyb0RvYy54bWxQSwUGAAAAAAYABgBZAQAAcgUAAAAA&#10;">
              <v:fill on="f" focussize="0,0"/>
              <v:stroke color="#002060" joinstyle="round"/>
              <v:imagedata o:title=""/>
              <o:lock v:ext="edit" aspectratio="f"/>
            </v:shape>
          </w:pict>
        </mc:Fallback>
      </mc:AlternateContent>
    </w:r>
  </w:p>
  <w:p w:rsidR="0083386C" w:rsidRDefault="00300E7F">
    <w:pPr>
      <w:pStyle w:val="Footer"/>
      <w:jc w:val="center"/>
      <w:rPr>
        <w:rFonts w:ascii="Times New Roman" w:hAnsi="Times New Roman"/>
        <w:sz w:val="20"/>
        <w:lang w:val="ro-RO"/>
      </w:rPr>
    </w:pPr>
    <w:r>
      <w:rPr>
        <w:rFonts w:ascii="Times New Roman" w:hAnsi="Times New Roman"/>
        <w:sz w:val="20"/>
        <w:lang w:val="ro-RO"/>
      </w:rPr>
      <w:t>Str. Cristian Popişteanu, nr. 1-3, sector 1, Bucureşti</w:t>
    </w:r>
  </w:p>
  <w:p w:rsidR="0083386C" w:rsidRDefault="00300E7F">
    <w:pPr>
      <w:pStyle w:val="Footer"/>
      <w:jc w:val="center"/>
      <w:rPr>
        <w:rFonts w:ascii="Times New Roman" w:hAnsi="Times New Roman"/>
        <w:sz w:val="20"/>
        <w:u w:val="single"/>
        <w:lang w:val="ro-RO"/>
      </w:rPr>
    </w:pPr>
    <w:r>
      <w:rPr>
        <w:rFonts w:ascii="Times New Roman" w:hAnsi="Times New Roman"/>
        <w:sz w:val="20"/>
        <w:lang w:val="ro-RO"/>
      </w:rPr>
      <w:t xml:space="preserve">Tel. 021.307.26.16,  E-mail: </w:t>
    </w:r>
    <w:hyperlink r:id="rId1" w:history="1">
      <w:r>
        <w:rPr>
          <w:rStyle w:val="Hyperlink"/>
          <w:rFonts w:ascii="Times New Roman" w:hAnsi="Times New Roman"/>
          <w:sz w:val="20"/>
          <w:lang w:val="ro-RO"/>
        </w:rPr>
        <w:t>dmu@ms.ro</w:t>
      </w:r>
    </w:hyperlink>
  </w:p>
  <w:p w:rsidR="0083386C" w:rsidRDefault="0083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7F" w:rsidRDefault="00300E7F">
      <w:pPr>
        <w:spacing w:after="0"/>
      </w:pPr>
      <w:r>
        <w:separator/>
      </w:r>
    </w:p>
  </w:footnote>
  <w:footnote w:type="continuationSeparator" w:id="0">
    <w:p w:rsidR="00300E7F" w:rsidRDefault="00300E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6C" w:rsidRDefault="00300E7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-447675</wp:posOffset>
          </wp:positionV>
          <wp:extent cx="1047750" cy="10572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842010</wp:posOffset>
              </wp:positionH>
              <wp:positionV relativeFrom="paragraph">
                <wp:posOffset>-203200</wp:posOffset>
              </wp:positionV>
              <wp:extent cx="4269740" cy="539115"/>
              <wp:effectExtent l="0" t="0" r="16510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974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:rsidR="0083386C" w:rsidRDefault="00300E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MINISTERUL S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  <w:lang w:val="ro-RO"/>
                            </w:rPr>
                            <w:t>ĂNĂTĂŢII</w:t>
                          </w:r>
                        </w:p>
                        <w:p w:rsidR="0083386C" w:rsidRDefault="00300E7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lang w:val="ro-RO"/>
                            </w:rPr>
                            <w:t>DIRECȚIA MEDICINĂ DE URGENȚĂ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66.3pt;margin-top:-16pt;height:42.45pt;width:336.2pt;mso-position-horizontal-relative:margin;z-index:251660288;mso-width-relative:page;mso-height-relative:margin;mso-height-percent:200;" fillcolor="#FFFFFF" filled="t" stroked="t" coordsize="21600,21600" o:gfxdata="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0FVEc2gAA&#10;AAoBAAAPAAAAAAAAAAEAIAAAACIAAABkcnMvZG93bnJldi54bWxQSwECFAAUAAAACACHTuJAVW5F&#10;FFUCAADLBAAADgAAAAAAAAABACAAAAApAQAAZHJzL2Uyb0RvYy54bWxQSwUGAAAAAAYABgBZAQAA&#10;8AUAAAAA&#10;">
              <v:fill on="t" focussize="0,0"/>
              <v:stroke color="#FFFFFF" miterlimit="8" joinstyle="miter"/>
              <v:imagedata o:title=""/>
              <o:lock v:ext="edit" aspectratio="f"/>
              <v:textbox style="mso-fit-shape-to-text:t;">
                <w:txbxContent>
                  <w:p w14:paraId="6E21568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MINISTERUL S</w:t>
                    </w:r>
                    <w:r>
                      <w:rPr>
                        <w:rFonts w:ascii="Times New Roman" w:hAnsi="Times New Roman"/>
                        <w:b/>
                        <w:sz w:val="36"/>
                        <w:lang w:val="ro-RO"/>
                      </w:rPr>
                      <w:t>ĂNĂTĂŢII</w:t>
                    </w:r>
                  </w:p>
                  <w:p w14:paraId="2DB92EA7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lang w:val="ro-RO"/>
                      </w:rPr>
                      <w:t>DIRECȚIA MEDICINĂ DE URGENȚĂ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4"/>
    <w:rsid w:val="0003043D"/>
    <w:rsid w:val="000311CE"/>
    <w:rsid w:val="00067057"/>
    <w:rsid w:val="000D152D"/>
    <w:rsid w:val="000D4DFA"/>
    <w:rsid w:val="000E1773"/>
    <w:rsid w:val="00141805"/>
    <w:rsid w:val="001A5834"/>
    <w:rsid w:val="001B0525"/>
    <w:rsid w:val="00290089"/>
    <w:rsid w:val="002E118A"/>
    <w:rsid w:val="002E4ABC"/>
    <w:rsid w:val="002F09E1"/>
    <w:rsid w:val="00300E7F"/>
    <w:rsid w:val="00367110"/>
    <w:rsid w:val="003A4950"/>
    <w:rsid w:val="003A621B"/>
    <w:rsid w:val="003B6BBB"/>
    <w:rsid w:val="004459D4"/>
    <w:rsid w:val="0047249D"/>
    <w:rsid w:val="0049286F"/>
    <w:rsid w:val="004E0FBB"/>
    <w:rsid w:val="0071265C"/>
    <w:rsid w:val="007633AF"/>
    <w:rsid w:val="00774AAD"/>
    <w:rsid w:val="0077560E"/>
    <w:rsid w:val="007B5727"/>
    <w:rsid w:val="007C4172"/>
    <w:rsid w:val="007D739B"/>
    <w:rsid w:val="0083386C"/>
    <w:rsid w:val="008918B7"/>
    <w:rsid w:val="008B6A72"/>
    <w:rsid w:val="008E4B74"/>
    <w:rsid w:val="0090344C"/>
    <w:rsid w:val="009A1243"/>
    <w:rsid w:val="009A1C1A"/>
    <w:rsid w:val="009D1F3C"/>
    <w:rsid w:val="00A1117D"/>
    <w:rsid w:val="00A3090A"/>
    <w:rsid w:val="00A91A25"/>
    <w:rsid w:val="00AC774E"/>
    <w:rsid w:val="00CA3959"/>
    <w:rsid w:val="00D77605"/>
    <w:rsid w:val="00DC6574"/>
    <w:rsid w:val="00DC7405"/>
    <w:rsid w:val="00DD558D"/>
    <w:rsid w:val="00DE62F6"/>
    <w:rsid w:val="00E6143A"/>
    <w:rsid w:val="00ED6E44"/>
    <w:rsid w:val="00F2574F"/>
    <w:rsid w:val="00F80319"/>
    <w:rsid w:val="00FE370B"/>
    <w:rsid w:val="00FF0EDB"/>
    <w:rsid w:val="1C9B073F"/>
    <w:rsid w:val="757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0F0FD-8BBD-4E77-916A-E0A7D2EB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rvts8">
    <w:name w:val="rvts8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u@m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 d. Mihailescu</cp:lastModifiedBy>
  <cp:revision>2</cp:revision>
  <cp:lastPrinted>2025-07-02T10:44:00Z</cp:lastPrinted>
  <dcterms:created xsi:type="dcterms:W3CDTF">2025-07-03T13:15:00Z</dcterms:created>
  <dcterms:modified xsi:type="dcterms:W3CDTF">2025-07-03T13:15:00Z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080ACC8C1F404195BE7219164993C878_12</vt:lpwstr>
  </property>
</Properties>
</file>