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DD1" w:rsidRPr="0037330E" w:rsidRDefault="005F2DD1" w:rsidP="005F2DD1">
      <w:pPr>
        <w:spacing w:after="0" w:line="240" w:lineRule="auto"/>
        <w:jc w:val="center"/>
        <w:rPr>
          <w:rFonts w:ascii="Trebuchet MS" w:hAnsi="Trebuchet MS" w:cs="Arial"/>
          <w:b/>
          <w:sz w:val="28"/>
          <w:szCs w:val="28"/>
        </w:rPr>
      </w:pPr>
      <w:bookmarkStart w:id="0" w:name="_GoBack"/>
      <w:bookmarkEnd w:id="0"/>
      <w:r w:rsidRPr="0037330E">
        <w:rPr>
          <w:rFonts w:ascii="Trebuchet MS" w:hAnsi="Trebuchet MS" w:cs="Arial"/>
          <w:b/>
          <w:noProof/>
          <w:sz w:val="28"/>
          <w:szCs w:val="28"/>
          <w:lang w:val="en-US"/>
        </w:rPr>
        <w:drawing>
          <wp:anchor distT="0" distB="0" distL="114300" distR="114300" simplePos="0" relativeHeight="251659264" behindDoc="0" locked="0" layoutInCell="1" allowOverlap="1" wp14:anchorId="41A96A2B" wp14:editId="1B5AD3C2">
            <wp:simplePos x="0" y="0"/>
            <wp:positionH relativeFrom="column">
              <wp:align>left</wp:align>
            </wp:positionH>
            <wp:positionV relativeFrom="paragraph">
              <wp:align>top</wp:align>
            </wp:positionV>
            <wp:extent cx="753110" cy="6477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_guv_coroana_albastru.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1945" cy="654797"/>
                    </a:xfrm>
                    <a:prstGeom prst="rect">
                      <a:avLst/>
                    </a:prstGeom>
                  </pic:spPr>
                </pic:pic>
              </a:graphicData>
            </a:graphic>
            <wp14:sizeRelH relativeFrom="margin">
              <wp14:pctWidth>0</wp14:pctWidth>
            </wp14:sizeRelH>
            <wp14:sizeRelV relativeFrom="margin">
              <wp14:pctHeight>0</wp14:pctHeight>
            </wp14:sizeRelV>
          </wp:anchor>
        </w:drawing>
      </w:r>
      <w:r w:rsidRPr="0037330E">
        <w:rPr>
          <w:rFonts w:ascii="Trebuchet MS" w:hAnsi="Trebuchet MS" w:cs="Arial"/>
          <w:b/>
          <w:sz w:val="28"/>
          <w:szCs w:val="28"/>
        </w:rPr>
        <w:t>MINISTERUL SĂNĂTĂȚII</w:t>
      </w:r>
    </w:p>
    <w:p w:rsidR="005F2DD1" w:rsidRPr="0037330E" w:rsidRDefault="005F2DD1" w:rsidP="005F2DD1">
      <w:pPr>
        <w:spacing w:after="0" w:line="240" w:lineRule="auto"/>
        <w:jc w:val="center"/>
        <w:rPr>
          <w:rFonts w:ascii="Trebuchet MS" w:hAnsi="Trebuchet MS" w:cs="Arial"/>
          <w:b/>
          <w:sz w:val="28"/>
          <w:szCs w:val="28"/>
        </w:rPr>
      </w:pPr>
      <w:r w:rsidRPr="0037330E">
        <w:rPr>
          <w:rFonts w:ascii="Trebuchet MS" w:hAnsi="Trebuchet MS" w:cs="Arial"/>
          <w:b/>
          <w:sz w:val="28"/>
          <w:szCs w:val="28"/>
        </w:rPr>
        <w:t>Direcția farmaceutică și dispozitive medicale</w:t>
      </w:r>
    </w:p>
    <w:p w:rsidR="00FA66EB" w:rsidRPr="000657D5" w:rsidRDefault="00FA66EB" w:rsidP="00FA66EB">
      <w:pPr>
        <w:rPr>
          <w:rFonts w:ascii="Trebuchet MS" w:eastAsia="Times New Roman" w:hAnsi="Trebuchet MS" w:cs="Arial"/>
          <w:b/>
          <w:spacing w:val="20"/>
          <w:lang w:eastAsia="ro-RO"/>
        </w:rPr>
      </w:pPr>
    </w:p>
    <w:p w:rsidR="00FA66EB" w:rsidRPr="000657D5" w:rsidRDefault="00FA66EB" w:rsidP="00FA66EB">
      <w:pPr>
        <w:spacing w:after="0" w:line="240" w:lineRule="auto"/>
        <w:ind w:right="-567"/>
        <w:jc w:val="both"/>
        <w:rPr>
          <w:rFonts w:ascii="Trebuchet MS" w:eastAsia="Times New Roman" w:hAnsi="Trebuchet MS" w:cs="Arial"/>
          <w:b/>
          <w:spacing w:val="20"/>
          <w:lang w:eastAsia="ro-RO"/>
        </w:rPr>
      </w:pPr>
    </w:p>
    <w:p w:rsidR="00FA66EB" w:rsidRDefault="00FA66EB" w:rsidP="00FA66EB">
      <w:pPr>
        <w:spacing w:after="0" w:line="240" w:lineRule="auto"/>
        <w:ind w:right="-567"/>
        <w:jc w:val="both"/>
        <w:rPr>
          <w:rFonts w:ascii="Trebuchet MS" w:eastAsia="Times New Roman" w:hAnsi="Trebuchet MS" w:cs="Arial"/>
          <w:b/>
          <w:spacing w:val="20"/>
          <w:lang w:eastAsia="ro-RO"/>
        </w:rPr>
      </w:pPr>
      <w:r w:rsidRPr="000657D5">
        <w:rPr>
          <w:rFonts w:ascii="Trebuchet MS" w:eastAsia="Times New Roman" w:hAnsi="Trebuchet MS" w:cs="Arial"/>
          <w:b/>
          <w:spacing w:val="20"/>
          <w:lang w:eastAsia="ro-RO"/>
        </w:rPr>
        <w:t xml:space="preserve">   </w:t>
      </w:r>
      <w:r w:rsidR="00402C82">
        <w:rPr>
          <w:rFonts w:ascii="Trebuchet MS" w:eastAsia="Times New Roman" w:hAnsi="Trebuchet MS" w:cs="Arial"/>
          <w:b/>
          <w:spacing w:val="20"/>
          <w:lang w:eastAsia="ro-RO"/>
        </w:rPr>
        <w:t>Nr. F 1126/19.11.2024</w:t>
      </w:r>
      <w:r w:rsidRPr="000657D5">
        <w:rPr>
          <w:rFonts w:ascii="Trebuchet MS" w:eastAsia="Times New Roman" w:hAnsi="Trebuchet MS" w:cs="Arial"/>
          <w:b/>
          <w:spacing w:val="20"/>
          <w:lang w:eastAsia="ro-RO"/>
        </w:rPr>
        <w:t xml:space="preserve">   </w:t>
      </w:r>
    </w:p>
    <w:p w:rsidR="005F2DD1" w:rsidRDefault="005F2DD1" w:rsidP="00FA66EB">
      <w:pPr>
        <w:spacing w:after="0" w:line="240" w:lineRule="auto"/>
        <w:ind w:right="-567"/>
        <w:jc w:val="both"/>
        <w:rPr>
          <w:rFonts w:ascii="Trebuchet MS" w:eastAsia="Times New Roman" w:hAnsi="Trebuchet MS" w:cs="Arial"/>
          <w:b/>
          <w:spacing w:val="20"/>
          <w:lang w:eastAsia="ro-RO"/>
        </w:rPr>
      </w:pPr>
    </w:p>
    <w:p w:rsidR="005F2DD1" w:rsidRPr="000657D5" w:rsidRDefault="005F2DD1" w:rsidP="00FA66EB">
      <w:pPr>
        <w:spacing w:after="0" w:line="240" w:lineRule="auto"/>
        <w:ind w:right="-567"/>
        <w:jc w:val="both"/>
        <w:rPr>
          <w:rFonts w:ascii="Trebuchet MS" w:eastAsia="Times New Roman" w:hAnsi="Trebuchet MS" w:cs="Arial"/>
          <w:b/>
          <w:spacing w:val="20"/>
          <w:lang w:eastAsia="ro-RO"/>
        </w:rPr>
      </w:pPr>
    </w:p>
    <w:p w:rsidR="00FA66EB" w:rsidRDefault="00954D1E" w:rsidP="00954D1E">
      <w:pPr>
        <w:spacing w:after="0" w:line="240" w:lineRule="auto"/>
        <w:ind w:right="-567"/>
        <w:jc w:val="center"/>
        <w:rPr>
          <w:rFonts w:ascii="Trebuchet MS" w:eastAsia="Times New Roman" w:hAnsi="Trebuchet MS" w:cs="Arial"/>
          <w:b/>
          <w:spacing w:val="20"/>
          <w:lang w:eastAsia="ro-RO"/>
        </w:rPr>
      </w:pPr>
      <w:r>
        <w:rPr>
          <w:rFonts w:ascii="Trebuchet MS" w:eastAsia="Times New Roman" w:hAnsi="Trebuchet MS" w:cs="Arial"/>
          <w:b/>
          <w:spacing w:val="20"/>
          <w:lang w:eastAsia="ro-RO"/>
        </w:rPr>
        <w:t xml:space="preserve">                                                          APROB,</w:t>
      </w:r>
    </w:p>
    <w:p w:rsidR="00954D1E" w:rsidRDefault="00954D1E" w:rsidP="00954D1E">
      <w:pPr>
        <w:spacing w:after="0" w:line="240" w:lineRule="auto"/>
        <w:ind w:right="-567"/>
        <w:jc w:val="center"/>
        <w:rPr>
          <w:rFonts w:ascii="Trebuchet MS" w:eastAsia="Times New Roman" w:hAnsi="Trebuchet MS" w:cs="Arial"/>
          <w:b/>
          <w:spacing w:val="20"/>
          <w:lang w:eastAsia="ro-RO"/>
        </w:rPr>
      </w:pPr>
      <w:r>
        <w:rPr>
          <w:rFonts w:ascii="Trebuchet MS" w:eastAsia="Times New Roman" w:hAnsi="Trebuchet MS" w:cs="Arial"/>
          <w:b/>
          <w:spacing w:val="20"/>
          <w:lang w:eastAsia="ro-RO"/>
        </w:rPr>
        <w:t xml:space="preserve">                                                             MINISTRUL SĂNĂTĂȚII</w:t>
      </w:r>
    </w:p>
    <w:p w:rsidR="00954D1E" w:rsidRDefault="00954D1E" w:rsidP="00954D1E">
      <w:pPr>
        <w:spacing w:after="0" w:line="240" w:lineRule="auto"/>
        <w:ind w:right="-567"/>
        <w:jc w:val="right"/>
        <w:rPr>
          <w:rFonts w:ascii="Trebuchet MS" w:eastAsia="Times New Roman" w:hAnsi="Trebuchet MS" w:cs="Arial"/>
          <w:b/>
          <w:spacing w:val="20"/>
          <w:lang w:eastAsia="ro-RO"/>
        </w:rPr>
      </w:pPr>
      <w:r>
        <w:rPr>
          <w:rFonts w:ascii="Trebuchet MS" w:eastAsia="Times New Roman" w:hAnsi="Trebuchet MS" w:cs="Arial"/>
          <w:b/>
          <w:spacing w:val="20"/>
          <w:lang w:eastAsia="ro-RO"/>
        </w:rPr>
        <w:t>PROF.UNIV.DR ALEXANDRU RAFILA</w:t>
      </w:r>
    </w:p>
    <w:p w:rsidR="00954D1E" w:rsidRDefault="00954D1E" w:rsidP="00954D1E">
      <w:pPr>
        <w:spacing w:after="0" w:line="240" w:lineRule="auto"/>
        <w:ind w:right="-567"/>
        <w:jc w:val="right"/>
        <w:rPr>
          <w:rFonts w:ascii="Trebuchet MS" w:eastAsia="Times New Roman" w:hAnsi="Trebuchet MS" w:cs="Arial"/>
          <w:b/>
          <w:spacing w:val="20"/>
          <w:lang w:eastAsia="ro-RO"/>
        </w:rPr>
      </w:pPr>
    </w:p>
    <w:p w:rsidR="00954D1E" w:rsidRPr="000657D5" w:rsidRDefault="00954D1E" w:rsidP="00954D1E">
      <w:pPr>
        <w:spacing w:after="0" w:line="240" w:lineRule="auto"/>
        <w:ind w:right="-567"/>
        <w:jc w:val="right"/>
        <w:rPr>
          <w:rFonts w:ascii="Trebuchet MS" w:eastAsia="Times New Roman" w:hAnsi="Trebuchet MS" w:cs="Arial"/>
          <w:b/>
          <w:spacing w:val="20"/>
          <w:lang w:eastAsia="ro-RO"/>
        </w:rPr>
      </w:pPr>
    </w:p>
    <w:p w:rsidR="00FA66EB" w:rsidRPr="000657D5" w:rsidRDefault="00FA66EB" w:rsidP="00FA66EB">
      <w:pPr>
        <w:spacing w:after="0" w:line="240" w:lineRule="auto"/>
        <w:ind w:right="-567"/>
        <w:jc w:val="both"/>
        <w:rPr>
          <w:rFonts w:ascii="Trebuchet MS" w:eastAsia="Times New Roman" w:hAnsi="Trebuchet MS" w:cs="Arial"/>
          <w:b/>
          <w:spacing w:val="20"/>
          <w:lang w:eastAsia="ro-RO"/>
        </w:rPr>
      </w:pPr>
    </w:p>
    <w:p w:rsidR="00FA66EB" w:rsidRPr="000657D5" w:rsidRDefault="00FA66EB" w:rsidP="00FA66EB">
      <w:pPr>
        <w:ind w:right="-2"/>
        <w:jc w:val="center"/>
        <w:rPr>
          <w:rFonts w:ascii="Trebuchet MS" w:eastAsia="Times New Roman" w:hAnsi="Trebuchet MS" w:cs="Arial"/>
          <w:b/>
          <w:bCs/>
          <w:u w:val="single"/>
          <w:lang w:eastAsia="ro-RO"/>
        </w:rPr>
      </w:pPr>
      <w:r w:rsidRPr="000657D5">
        <w:rPr>
          <w:rFonts w:ascii="Trebuchet MS" w:eastAsia="Times New Roman" w:hAnsi="Trebuchet MS" w:cs="Arial"/>
          <w:b/>
          <w:bCs/>
          <w:u w:val="single"/>
          <w:lang w:eastAsia="ro-RO"/>
        </w:rPr>
        <w:t>REFERAT DE APROBARE</w:t>
      </w:r>
    </w:p>
    <w:p w:rsidR="00FA66EB" w:rsidRPr="000657D5" w:rsidRDefault="00FA66EB" w:rsidP="00FA66EB">
      <w:pPr>
        <w:pStyle w:val="rvps1"/>
        <w:shd w:val="clear" w:color="auto" w:fill="FFFFFF"/>
        <w:spacing w:before="0" w:beforeAutospacing="0" w:after="0" w:afterAutospacing="0"/>
        <w:jc w:val="both"/>
        <w:rPr>
          <w:rStyle w:val="rvts1"/>
          <w:rFonts w:ascii="Trebuchet MS" w:hAnsi="Trebuchet MS" w:cs="Arial"/>
          <w:bCs/>
          <w:color w:val="000000"/>
          <w:sz w:val="22"/>
          <w:szCs w:val="22"/>
          <w:bdr w:val="none" w:sz="0" w:space="0" w:color="auto" w:frame="1"/>
        </w:rPr>
      </w:pPr>
    </w:p>
    <w:p w:rsidR="00FA66EB" w:rsidRPr="000657D5" w:rsidRDefault="00FA66EB" w:rsidP="00FA66EB">
      <w:pPr>
        <w:pStyle w:val="rvps1"/>
        <w:shd w:val="clear" w:color="auto" w:fill="FFFFFF"/>
        <w:spacing w:before="0" w:beforeAutospacing="0" w:after="0" w:afterAutospacing="0"/>
        <w:ind w:firstLine="720"/>
        <w:jc w:val="both"/>
        <w:rPr>
          <w:rStyle w:val="rvts1"/>
          <w:rFonts w:ascii="Trebuchet MS" w:hAnsi="Trebuchet MS" w:cs="Arial"/>
          <w:bCs/>
          <w:color w:val="000000"/>
          <w:sz w:val="22"/>
          <w:szCs w:val="22"/>
          <w:bdr w:val="none" w:sz="0" w:space="0" w:color="auto" w:frame="1"/>
        </w:rPr>
      </w:pPr>
      <w:r w:rsidRPr="000657D5">
        <w:rPr>
          <w:rFonts w:ascii="Trebuchet MS" w:hAnsi="Trebuchet MS" w:cs="Arial"/>
          <w:bCs/>
          <w:color w:val="000000"/>
          <w:sz w:val="22"/>
          <w:szCs w:val="22"/>
          <w:bdr w:val="none" w:sz="0" w:space="0" w:color="auto" w:frame="1"/>
        </w:rPr>
        <w:t>Având în vedere că Ministerul Sănătăţii a implementat o măsură care să genereze o reducere a utilizării excesive a antibioticelor, dar şi o mai bună utilizare a acestora în raport cu măsurile şi acţiunile existe</w:t>
      </w:r>
      <w:r w:rsidR="008D5BA1">
        <w:rPr>
          <w:rFonts w:ascii="Trebuchet MS" w:hAnsi="Trebuchet MS" w:cs="Arial"/>
          <w:bCs/>
          <w:color w:val="000000"/>
          <w:sz w:val="22"/>
          <w:szCs w:val="22"/>
          <w:bdr w:val="none" w:sz="0" w:space="0" w:color="auto" w:frame="1"/>
        </w:rPr>
        <w:t xml:space="preserve">nte la nivelul Uniunii Europene </w:t>
      </w:r>
      <w:r w:rsidRPr="000657D5">
        <w:rPr>
          <w:rFonts w:ascii="Trebuchet MS" w:hAnsi="Trebuchet MS" w:cs="Arial"/>
          <w:bCs/>
          <w:color w:val="000000"/>
          <w:sz w:val="22"/>
          <w:szCs w:val="22"/>
          <w:bdr w:val="none" w:sz="0" w:space="0" w:color="auto" w:frame="1"/>
        </w:rPr>
        <w:t>prin aprobarea </w:t>
      </w:r>
      <w:hyperlink r:id="rId5" w:history="1">
        <w:r w:rsidRPr="000657D5">
          <w:rPr>
            <w:rStyle w:val="Hyperlink"/>
            <w:rFonts w:ascii="Trebuchet MS" w:hAnsi="Trebuchet MS" w:cs="Arial"/>
            <w:bCs/>
            <w:color w:val="auto"/>
            <w:sz w:val="22"/>
            <w:szCs w:val="22"/>
            <w:u w:val="none"/>
            <w:bdr w:val="none" w:sz="0" w:space="0" w:color="auto" w:frame="1"/>
          </w:rPr>
          <w:t>Ordinului</w:t>
        </w:r>
      </w:hyperlink>
      <w:r w:rsidRPr="000657D5">
        <w:rPr>
          <w:rFonts w:ascii="Trebuchet MS" w:hAnsi="Trebuchet MS" w:cs="Arial"/>
          <w:bCs/>
          <w:sz w:val="22"/>
          <w:szCs w:val="22"/>
          <w:bdr w:val="none" w:sz="0" w:space="0" w:color="auto" w:frame="1"/>
        </w:rPr>
        <w:t> </w:t>
      </w:r>
      <w:r w:rsidRPr="000657D5">
        <w:rPr>
          <w:rFonts w:ascii="Trebuchet MS" w:hAnsi="Trebuchet MS" w:cs="Arial"/>
          <w:bCs/>
          <w:color w:val="000000"/>
          <w:sz w:val="22"/>
          <w:szCs w:val="22"/>
          <w:bdr w:val="none" w:sz="0" w:space="0" w:color="auto" w:frame="1"/>
        </w:rPr>
        <w:t xml:space="preserve">ministrului sănătăţii nr. 63/2024 privind reglementarea metodologiei de monitorizare a prescrierii şi eliberării la nivel naţional a medicamentelor din categoria antibiotice şi antifungice de uz sistemic, cu modificările ulterioare, care impune colectarea de date cu caracter personal privind sănătatea, astfel cum sunt definite prin Regulamentul (UE) 2016/679, prin </w:t>
      </w:r>
      <w:r w:rsidRPr="000657D5">
        <w:rPr>
          <w:rStyle w:val="rvts1"/>
          <w:rFonts w:ascii="Trebuchet MS" w:hAnsi="Trebuchet MS" w:cs="Arial"/>
          <w:bCs/>
          <w:color w:val="000000"/>
          <w:sz w:val="22"/>
          <w:szCs w:val="22"/>
          <w:bdr w:val="none" w:sz="0" w:space="0" w:color="auto" w:frame="1"/>
        </w:rPr>
        <w:t>intermediul O</w:t>
      </w:r>
      <w:r w:rsidRPr="000657D5">
        <w:rPr>
          <w:rStyle w:val="rvts1"/>
          <w:rFonts w:ascii="Trebuchet MS" w:hAnsi="Trebuchet MS" w:cs="Arial"/>
          <w:bCs/>
          <w:i/>
          <w:color w:val="000000"/>
          <w:sz w:val="22"/>
          <w:szCs w:val="22"/>
          <w:bdr w:val="none" w:sz="0" w:space="0" w:color="auto" w:frame="1"/>
        </w:rPr>
        <w:t>.U.G nr. 66</w:t>
      </w:r>
      <w:r w:rsidRPr="000657D5">
        <w:rPr>
          <w:rFonts w:ascii="Trebuchet MS" w:hAnsi="Trebuchet MS" w:cs="Arial"/>
          <w:i/>
          <w:color w:val="000000"/>
          <w:sz w:val="22"/>
          <w:szCs w:val="22"/>
        </w:rPr>
        <w:t xml:space="preserve"> </w:t>
      </w:r>
      <w:r w:rsidRPr="000657D5">
        <w:rPr>
          <w:rStyle w:val="rvts1"/>
          <w:rFonts w:ascii="Trebuchet MS" w:hAnsi="Trebuchet MS" w:cs="Arial"/>
          <w:bCs/>
          <w:i/>
          <w:color w:val="000000"/>
          <w:sz w:val="22"/>
          <w:szCs w:val="22"/>
          <w:bdr w:val="none" w:sz="0" w:space="0" w:color="auto" w:frame="1"/>
        </w:rPr>
        <w:t>din 13 iunie 2024</w:t>
      </w:r>
      <w:r w:rsidRPr="000657D5">
        <w:rPr>
          <w:rFonts w:ascii="Trebuchet MS" w:hAnsi="Trebuchet MS" w:cs="Arial"/>
          <w:i/>
          <w:color w:val="000000"/>
          <w:sz w:val="22"/>
          <w:szCs w:val="22"/>
        </w:rPr>
        <w:t xml:space="preserve"> </w:t>
      </w:r>
      <w:r w:rsidRPr="000657D5">
        <w:rPr>
          <w:rStyle w:val="rvts1"/>
          <w:rFonts w:ascii="Trebuchet MS" w:hAnsi="Trebuchet MS" w:cs="Arial"/>
          <w:bCs/>
          <w:i/>
          <w:color w:val="000000"/>
          <w:sz w:val="22"/>
          <w:szCs w:val="22"/>
          <w:bdr w:val="none" w:sz="0" w:space="0" w:color="auto" w:frame="1"/>
        </w:rPr>
        <w:t>pentru modificarea şi completarea Legii nr. 95/2006 privind reforma în domeniul sănătăţii şi pentru modificarea şi completarea unor acte normative în domeniul sănătăţii</w:t>
      </w:r>
      <w:r w:rsidRPr="000657D5">
        <w:rPr>
          <w:rStyle w:val="rvts1"/>
          <w:rFonts w:ascii="Trebuchet MS" w:hAnsi="Trebuchet MS" w:cs="Arial"/>
          <w:bCs/>
          <w:color w:val="000000"/>
          <w:sz w:val="22"/>
          <w:szCs w:val="22"/>
          <w:bdr w:val="none" w:sz="0" w:space="0" w:color="auto" w:frame="1"/>
        </w:rPr>
        <w:t>, s-a reglementat la nivel primar  operaţiunile de prelucrare a datelor cu caracter personal privind sănătatea, prin intermediul Sistemului electronic de raportare (SER).</w:t>
      </w:r>
    </w:p>
    <w:p w:rsidR="00FA66EB" w:rsidRPr="000657D5" w:rsidRDefault="00FA66EB" w:rsidP="00FA66EB">
      <w:pPr>
        <w:pStyle w:val="rvps1"/>
        <w:shd w:val="clear" w:color="auto" w:fill="FFFFFF"/>
        <w:spacing w:after="0"/>
        <w:ind w:firstLine="720"/>
        <w:jc w:val="both"/>
        <w:rPr>
          <w:rStyle w:val="rvts1"/>
          <w:rFonts w:ascii="Trebuchet MS" w:hAnsi="Trebuchet MS" w:cs="Arial"/>
          <w:bCs/>
          <w:color w:val="000000"/>
          <w:sz w:val="22"/>
          <w:szCs w:val="22"/>
          <w:bdr w:val="none" w:sz="0" w:space="0" w:color="auto" w:frame="1"/>
        </w:rPr>
      </w:pPr>
      <w:r w:rsidRPr="000657D5">
        <w:rPr>
          <w:rStyle w:val="rvts1"/>
          <w:rFonts w:ascii="Trebuchet MS" w:hAnsi="Trebuchet MS" w:cs="Arial"/>
          <w:bCs/>
          <w:color w:val="000000"/>
          <w:sz w:val="22"/>
          <w:szCs w:val="22"/>
          <w:bdr w:val="none" w:sz="0" w:space="0" w:color="auto" w:frame="1"/>
        </w:rPr>
        <w:t>SER reprezintă o platformă software dezvoltată şi administrată, din punct de vedere tehnic, de Serviciul de Telecomunicaţii Speciale pentru Ministerul Sănătăţii şi ANMDMR, reglementat inițial prin intermediul Ordinului ministrului sănătății nr. 1345 din 24 noiembrie 2016 privind raportarea zilnică a stocurilor şi operaţiunilor comerciale efectuate cu medicamentele de uz uman din Catalogul naţional al preţurilor medicamentelor autorizate de punere pe piaţă în România de către unităţile de distribuţie angro a medicamentelor, importatori, fabricanţi autorizaţi şi farmaciile cu circuit închis şi deschis.</w:t>
      </w:r>
    </w:p>
    <w:p w:rsidR="00FA66EB" w:rsidRDefault="00FA66EB" w:rsidP="00FA66EB">
      <w:pPr>
        <w:pStyle w:val="rvps1"/>
        <w:shd w:val="clear" w:color="auto" w:fill="FFFFFF"/>
        <w:spacing w:after="0"/>
        <w:ind w:firstLine="720"/>
        <w:jc w:val="both"/>
        <w:rPr>
          <w:rStyle w:val="rvts1"/>
          <w:rFonts w:ascii="Trebuchet MS" w:hAnsi="Trebuchet MS" w:cs="Arial"/>
          <w:bCs/>
          <w:color w:val="000000"/>
          <w:sz w:val="22"/>
          <w:szCs w:val="22"/>
          <w:bdr w:val="none" w:sz="0" w:space="0" w:color="auto" w:frame="1"/>
        </w:rPr>
      </w:pPr>
      <w:r w:rsidRPr="000657D5">
        <w:rPr>
          <w:rStyle w:val="rvts1"/>
          <w:rFonts w:ascii="Trebuchet MS" w:hAnsi="Trebuchet MS" w:cs="Arial"/>
          <w:bCs/>
          <w:color w:val="000000"/>
          <w:sz w:val="22"/>
          <w:szCs w:val="22"/>
          <w:bdr w:val="none" w:sz="0" w:space="0" w:color="auto" w:frame="1"/>
        </w:rPr>
        <w:t>Ținând cont de prevederile art. 804</w:t>
      </w:r>
      <w:r w:rsidRPr="000657D5">
        <w:rPr>
          <w:rStyle w:val="rvts1"/>
          <w:rFonts w:ascii="Trebuchet MS" w:hAnsi="Trebuchet MS" w:cs="Arial"/>
          <w:bCs/>
          <w:color w:val="000000"/>
          <w:sz w:val="22"/>
          <w:szCs w:val="22"/>
          <w:bdr w:val="none" w:sz="0" w:space="0" w:color="auto" w:frame="1"/>
          <w:vertAlign w:val="superscript"/>
        </w:rPr>
        <w:t xml:space="preserve">1 </w:t>
      </w:r>
      <w:r w:rsidRPr="000657D5">
        <w:rPr>
          <w:rStyle w:val="rvts1"/>
          <w:rFonts w:ascii="Trebuchet MS" w:hAnsi="Trebuchet MS" w:cs="Arial"/>
          <w:bCs/>
          <w:color w:val="000000"/>
          <w:sz w:val="22"/>
          <w:szCs w:val="22"/>
          <w:bdr w:val="none" w:sz="0" w:space="0" w:color="auto" w:frame="1"/>
        </w:rPr>
        <w:t>alin (7)</w:t>
      </w:r>
      <w:r w:rsidRPr="000657D5">
        <w:rPr>
          <w:rStyle w:val="rvts1"/>
          <w:rFonts w:ascii="Trebuchet MS" w:hAnsi="Trebuchet MS" w:cs="Arial"/>
          <w:bCs/>
          <w:color w:val="000000"/>
          <w:sz w:val="22"/>
          <w:szCs w:val="22"/>
          <w:bdr w:val="none" w:sz="0" w:space="0" w:color="auto" w:frame="1"/>
          <w:vertAlign w:val="superscript"/>
        </w:rPr>
        <w:t xml:space="preserve"> </w:t>
      </w:r>
      <w:r w:rsidRPr="000657D5">
        <w:rPr>
          <w:rStyle w:val="rvts1"/>
          <w:rFonts w:ascii="Trebuchet MS" w:hAnsi="Trebuchet MS" w:cs="Arial"/>
          <w:bCs/>
          <w:color w:val="000000"/>
          <w:sz w:val="22"/>
          <w:szCs w:val="22"/>
          <w:bdr w:val="none" w:sz="0" w:space="0" w:color="auto" w:frame="1"/>
        </w:rPr>
        <w:t>din</w:t>
      </w:r>
      <w:r w:rsidRPr="000657D5">
        <w:rPr>
          <w:rStyle w:val="rvts1"/>
          <w:rFonts w:ascii="Trebuchet MS" w:hAnsi="Trebuchet MS" w:cs="Arial"/>
          <w:bCs/>
          <w:color w:val="000000"/>
          <w:sz w:val="22"/>
          <w:szCs w:val="22"/>
          <w:bdr w:val="none" w:sz="0" w:space="0" w:color="auto" w:frame="1"/>
          <w:vertAlign w:val="superscript"/>
        </w:rPr>
        <w:t xml:space="preserve"> </w:t>
      </w:r>
      <w:r w:rsidRPr="000657D5">
        <w:rPr>
          <w:rStyle w:val="rvts1"/>
          <w:rFonts w:ascii="Trebuchet MS" w:hAnsi="Trebuchet MS" w:cs="Arial"/>
          <w:bCs/>
          <w:color w:val="000000"/>
          <w:sz w:val="22"/>
          <w:szCs w:val="22"/>
          <w:bdr w:val="none" w:sz="0" w:space="0" w:color="auto" w:frame="1"/>
        </w:rPr>
        <w:t xml:space="preserve">Legea nr. 95/2006 privind reforma în domeniul sănătăţii şi pentru modificarea şi completarea unor acte normative în domeniul sănătăţii, republicată, cu modificările și completările ulterioare, potrivit cărora metodologia de raportare, colectare şi prelucrare a datelor prevăzute la alin. (1) şi (4), operatorii asociaţi şi persoanele împuternicite de către operator, condiţiile şi limitele de acces la datele cu caracter personal, măsurile şi garanţiile privind securitatea şi confidenţialitatea datelor şi informaţiilor din SER, precum şi modul de îndeplinire a măsurilor necesare în vederea informării persoanelor vizate asupra operaţiunilor de prelucrare şi modul de exercitare a drepturilor persoanelor vizate, în concordanţă cu prevederile Regulamentului (UE) 2016/679, se stabilesc prin ordin comun al ministrului sănătăţii şi al directorului Serviciului de Telecomunicaţii Speciale, se impune </w:t>
      </w:r>
      <w:r>
        <w:rPr>
          <w:rStyle w:val="rvts1"/>
          <w:rFonts w:ascii="Trebuchet MS" w:hAnsi="Trebuchet MS" w:cs="Arial"/>
          <w:bCs/>
          <w:color w:val="000000"/>
          <w:sz w:val="22"/>
          <w:szCs w:val="22"/>
          <w:bdr w:val="none" w:sz="0" w:space="0" w:color="auto" w:frame="1"/>
        </w:rPr>
        <w:t>adoptarea prezentului ordin comun care stabilește următoarele:</w:t>
      </w:r>
    </w:p>
    <w:p w:rsidR="00FA66EB" w:rsidRDefault="00FA66EB" w:rsidP="00FA66EB">
      <w:pPr>
        <w:jc w:val="both"/>
        <w:rPr>
          <w:rStyle w:val="rvts1"/>
          <w:rFonts w:ascii="Trebuchet MS" w:eastAsia="Times New Roman" w:hAnsi="Trebuchet MS" w:cs="Arial"/>
          <w:bCs/>
          <w:color w:val="000000"/>
          <w:bdr w:val="none" w:sz="0" w:space="0" w:color="auto" w:frame="1"/>
          <w:lang w:eastAsia="ro-RO"/>
        </w:rPr>
      </w:pPr>
      <w:r>
        <w:rPr>
          <w:rStyle w:val="rvts1"/>
          <w:rFonts w:ascii="Trebuchet MS" w:eastAsia="Times New Roman" w:hAnsi="Trebuchet MS" w:cs="Arial"/>
          <w:bCs/>
          <w:color w:val="000000"/>
          <w:bdr w:val="none" w:sz="0" w:space="0" w:color="auto" w:frame="1"/>
          <w:lang w:eastAsia="ro-RO"/>
        </w:rPr>
        <w:t xml:space="preserve">1. </w:t>
      </w:r>
      <w:r w:rsidR="00372B68">
        <w:rPr>
          <w:rStyle w:val="rvts1"/>
          <w:rFonts w:ascii="Trebuchet MS" w:eastAsia="Times New Roman" w:hAnsi="Trebuchet MS" w:cs="Arial"/>
          <w:bCs/>
          <w:color w:val="000000"/>
          <w:bdr w:val="none" w:sz="0" w:space="0" w:color="auto" w:frame="1"/>
          <w:lang w:eastAsia="ro-RO"/>
        </w:rPr>
        <w:t>relementarea s</w:t>
      </w:r>
      <w:r w:rsidRPr="00FA66EB">
        <w:rPr>
          <w:rStyle w:val="rvts1"/>
          <w:rFonts w:ascii="Trebuchet MS" w:eastAsia="Times New Roman" w:hAnsi="Trebuchet MS" w:cs="Arial"/>
          <w:bCs/>
          <w:color w:val="000000"/>
          <w:bdr w:val="none" w:sz="0" w:space="0" w:color="auto" w:frame="1"/>
          <w:lang w:eastAsia="ro-RO"/>
        </w:rPr>
        <w:t>copul</w:t>
      </w:r>
      <w:r w:rsidR="00372B68">
        <w:rPr>
          <w:rStyle w:val="rvts1"/>
          <w:rFonts w:ascii="Trebuchet MS" w:eastAsia="Times New Roman" w:hAnsi="Trebuchet MS" w:cs="Arial"/>
          <w:bCs/>
          <w:color w:val="000000"/>
          <w:bdr w:val="none" w:sz="0" w:space="0" w:color="auto" w:frame="1"/>
          <w:lang w:eastAsia="ro-RO"/>
        </w:rPr>
        <w:t>ui, funcționalităților și modalității</w:t>
      </w:r>
      <w:r w:rsidRPr="00FA66EB">
        <w:rPr>
          <w:rStyle w:val="rvts1"/>
          <w:rFonts w:ascii="Trebuchet MS" w:eastAsia="Times New Roman" w:hAnsi="Trebuchet MS" w:cs="Arial"/>
          <w:bCs/>
          <w:color w:val="000000"/>
          <w:bdr w:val="none" w:sz="0" w:space="0" w:color="auto" w:frame="1"/>
          <w:lang w:eastAsia="ro-RO"/>
        </w:rPr>
        <w:t xml:space="preserve"> de raportare a datelor prin Sistemul electronic de raportare</w:t>
      </w:r>
      <w:r>
        <w:rPr>
          <w:rStyle w:val="rvts1"/>
          <w:rFonts w:ascii="Trebuchet MS" w:eastAsia="Times New Roman" w:hAnsi="Trebuchet MS" w:cs="Arial"/>
          <w:bCs/>
          <w:color w:val="000000"/>
          <w:bdr w:val="none" w:sz="0" w:space="0" w:color="auto" w:frame="1"/>
          <w:lang w:eastAsia="ro-RO"/>
        </w:rPr>
        <w:t xml:space="preserve">: pentru ca </w:t>
      </w:r>
      <w:r w:rsidRPr="00FA66EB">
        <w:rPr>
          <w:rStyle w:val="rvts1"/>
          <w:rFonts w:ascii="Trebuchet MS" w:eastAsia="Times New Roman" w:hAnsi="Trebuchet MS" w:cs="Arial"/>
          <w:bCs/>
          <w:color w:val="000000"/>
          <w:bdr w:val="none" w:sz="0" w:space="0" w:color="auto" w:frame="1"/>
          <w:lang w:eastAsia="ro-RO"/>
        </w:rPr>
        <w:t xml:space="preserve">sistemele informatice ale unităților cu obligații </w:t>
      </w:r>
      <w:r w:rsidRPr="00FA66EB">
        <w:rPr>
          <w:rStyle w:val="rvts1"/>
          <w:rFonts w:ascii="Trebuchet MS" w:eastAsia="Times New Roman" w:hAnsi="Trebuchet MS" w:cs="Arial"/>
          <w:bCs/>
          <w:color w:val="000000"/>
          <w:bdr w:val="none" w:sz="0" w:space="0" w:color="auto" w:frame="1"/>
          <w:lang w:eastAsia="ro-RO"/>
        </w:rPr>
        <w:lastRenderedPageBreak/>
        <w:t>de raportare</w:t>
      </w:r>
      <w:r>
        <w:rPr>
          <w:rStyle w:val="rvts1"/>
          <w:rFonts w:ascii="Trebuchet MS" w:eastAsia="Times New Roman" w:hAnsi="Trebuchet MS" w:cs="Arial"/>
          <w:bCs/>
          <w:color w:val="000000"/>
          <w:bdr w:val="none" w:sz="0" w:space="0" w:color="auto" w:frame="1"/>
          <w:lang w:eastAsia="ro-RO"/>
        </w:rPr>
        <w:t xml:space="preserve"> în SER</w:t>
      </w:r>
      <w:r w:rsidRPr="00FA66EB">
        <w:rPr>
          <w:rStyle w:val="rvts1"/>
          <w:rFonts w:ascii="Trebuchet MS" w:eastAsia="Times New Roman" w:hAnsi="Trebuchet MS" w:cs="Arial"/>
          <w:bCs/>
          <w:color w:val="000000"/>
          <w:bdr w:val="none" w:sz="0" w:space="0" w:color="auto" w:frame="1"/>
          <w:lang w:eastAsia="ro-RO"/>
        </w:rPr>
        <w:t xml:space="preserve"> să nu sufere intervenții majore iar raportarea să se realizeze fără în</w:t>
      </w:r>
      <w:r>
        <w:rPr>
          <w:rStyle w:val="rvts1"/>
          <w:rFonts w:ascii="Trebuchet MS" w:eastAsia="Times New Roman" w:hAnsi="Trebuchet MS" w:cs="Arial"/>
          <w:bCs/>
          <w:color w:val="000000"/>
          <w:bdr w:val="none" w:sz="0" w:space="0" w:color="auto" w:frame="1"/>
          <w:lang w:eastAsia="ro-RO"/>
        </w:rPr>
        <w:t>trerupere și în condiții optime, intervenția legislativă vizează preluarea prevederilor privind funcționalitățile SER din anexa la Ordinul ministrului sănătății nr. 1345/2016, cu modificările și completările ulterioare, și actualizarea minoră a acestora pentru corelare cu alte dispoziții legale.</w:t>
      </w:r>
    </w:p>
    <w:p w:rsidR="00FA66EB" w:rsidRDefault="00FA66EB" w:rsidP="00FA66EB">
      <w:pPr>
        <w:jc w:val="both"/>
        <w:rPr>
          <w:rStyle w:val="rvts1"/>
          <w:rFonts w:ascii="Trebuchet MS" w:eastAsia="Times New Roman" w:hAnsi="Trebuchet MS" w:cs="Arial"/>
          <w:bCs/>
          <w:color w:val="000000"/>
          <w:bdr w:val="none" w:sz="0" w:space="0" w:color="auto" w:frame="1"/>
          <w:lang w:eastAsia="ro-RO"/>
        </w:rPr>
      </w:pPr>
      <w:r>
        <w:rPr>
          <w:rStyle w:val="rvts1"/>
          <w:rFonts w:ascii="Trebuchet MS" w:eastAsia="Times New Roman" w:hAnsi="Trebuchet MS" w:cs="Arial"/>
          <w:bCs/>
          <w:color w:val="000000"/>
          <w:bdr w:val="none" w:sz="0" w:space="0" w:color="auto" w:frame="1"/>
          <w:lang w:eastAsia="ro-RO"/>
        </w:rPr>
        <w:t xml:space="preserve">2. </w:t>
      </w:r>
      <w:r w:rsidR="00372B68">
        <w:rPr>
          <w:rStyle w:val="rvts1"/>
          <w:rFonts w:ascii="Trebuchet MS" w:eastAsia="Times New Roman" w:hAnsi="Trebuchet MS" w:cs="Arial"/>
          <w:bCs/>
          <w:color w:val="000000"/>
          <w:bdr w:val="none" w:sz="0" w:space="0" w:color="auto" w:frame="1"/>
          <w:lang w:eastAsia="ro-RO"/>
        </w:rPr>
        <w:t xml:space="preserve">stabilirea operatorilor </w:t>
      </w:r>
      <w:r w:rsidR="00372B68" w:rsidRPr="00372B68">
        <w:rPr>
          <w:rStyle w:val="rvts1"/>
          <w:rFonts w:ascii="Trebuchet MS" w:eastAsia="Times New Roman" w:hAnsi="Trebuchet MS" w:cs="Arial"/>
          <w:bCs/>
          <w:color w:val="000000"/>
          <w:bdr w:val="none" w:sz="0" w:space="0" w:color="auto" w:frame="1"/>
          <w:lang w:eastAsia="ro-RO"/>
        </w:rPr>
        <w:t xml:space="preserve">asociați și </w:t>
      </w:r>
      <w:r w:rsidR="00372B68">
        <w:rPr>
          <w:rStyle w:val="rvts1"/>
          <w:rFonts w:ascii="Trebuchet MS" w:eastAsia="Times New Roman" w:hAnsi="Trebuchet MS" w:cs="Arial"/>
          <w:bCs/>
          <w:color w:val="000000"/>
          <w:bdr w:val="none" w:sz="0" w:space="0" w:color="auto" w:frame="1"/>
          <w:lang w:eastAsia="ro-RO"/>
        </w:rPr>
        <w:t>a persoanelor</w:t>
      </w:r>
      <w:r w:rsidR="00372B68" w:rsidRPr="00372B68">
        <w:rPr>
          <w:rStyle w:val="rvts1"/>
          <w:rFonts w:ascii="Trebuchet MS" w:eastAsia="Times New Roman" w:hAnsi="Trebuchet MS" w:cs="Arial"/>
          <w:bCs/>
          <w:color w:val="000000"/>
          <w:bdr w:val="none" w:sz="0" w:space="0" w:color="auto" w:frame="1"/>
          <w:lang w:eastAsia="ro-RO"/>
        </w:rPr>
        <w:t xml:space="preserve"> împuternicite de operator în vederea colectării și prelucrării datelor, inclusiv a datelor cu caracter personal</w:t>
      </w:r>
      <w:r w:rsidR="00372B68">
        <w:rPr>
          <w:rStyle w:val="rvts1"/>
          <w:rFonts w:ascii="Trebuchet MS" w:eastAsia="Times New Roman" w:hAnsi="Trebuchet MS" w:cs="Arial"/>
          <w:bCs/>
          <w:color w:val="000000"/>
          <w:bdr w:val="none" w:sz="0" w:space="0" w:color="auto" w:frame="1"/>
          <w:lang w:eastAsia="ro-RO"/>
        </w:rPr>
        <w:t>.</w:t>
      </w:r>
    </w:p>
    <w:p w:rsidR="00372B68" w:rsidRDefault="00372B68" w:rsidP="00FA66EB">
      <w:pPr>
        <w:jc w:val="both"/>
        <w:rPr>
          <w:rStyle w:val="rvts1"/>
          <w:rFonts w:ascii="Trebuchet MS" w:eastAsia="Times New Roman" w:hAnsi="Trebuchet MS" w:cs="Arial"/>
          <w:bCs/>
          <w:color w:val="000000"/>
          <w:bdr w:val="none" w:sz="0" w:space="0" w:color="auto" w:frame="1"/>
          <w:lang w:eastAsia="ro-RO"/>
        </w:rPr>
      </w:pPr>
      <w:r>
        <w:rPr>
          <w:rStyle w:val="rvts1"/>
          <w:rFonts w:ascii="Trebuchet MS" w:eastAsia="Times New Roman" w:hAnsi="Trebuchet MS" w:cs="Arial"/>
          <w:bCs/>
          <w:color w:val="000000"/>
          <w:bdr w:val="none" w:sz="0" w:space="0" w:color="auto" w:frame="1"/>
          <w:lang w:eastAsia="ro-RO"/>
        </w:rPr>
        <w:t xml:space="preserve">3. reglementarea condițiilor și limitelor </w:t>
      </w:r>
      <w:r w:rsidRPr="00372B68">
        <w:rPr>
          <w:rStyle w:val="rvts1"/>
          <w:rFonts w:ascii="Trebuchet MS" w:eastAsia="Times New Roman" w:hAnsi="Trebuchet MS" w:cs="Arial"/>
          <w:bCs/>
          <w:color w:val="000000"/>
          <w:bdr w:val="none" w:sz="0" w:space="0" w:color="auto" w:frame="1"/>
          <w:lang w:eastAsia="ro-RO"/>
        </w:rPr>
        <w:t xml:space="preserve">de acces la datele cu caracter personal și </w:t>
      </w:r>
      <w:r>
        <w:rPr>
          <w:rStyle w:val="rvts1"/>
          <w:rFonts w:ascii="Trebuchet MS" w:eastAsia="Times New Roman" w:hAnsi="Trebuchet MS" w:cs="Arial"/>
          <w:bCs/>
          <w:color w:val="000000"/>
          <w:bdr w:val="none" w:sz="0" w:space="0" w:color="auto" w:frame="1"/>
          <w:lang w:eastAsia="ro-RO"/>
        </w:rPr>
        <w:t>a măsurilor</w:t>
      </w:r>
      <w:r w:rsidRPr="00372B68">
        <w:rPr>
          <w:rStyle w:val="rvts1"/>
          <w:rFonts w:ascii="Trebuchet MS" w:eastAsia="Times New Roman" w:hAnsi="Trebuchet MS" w:cs="Arial"/>
          <w:bCs/>
          <w:color w:val="000000"/>
          <w:bdr w:val="none" w:sz="0" w:space="0" w:color="auto" w:frame="1"/>
          <w:lang w:eastAsia="ro-RO"/>
        </w:rPr>
        <w:t xml:space="preserve"> privind securitatea și confidențialitatea datelor</w:t>
      </w:r>
      <w:r>
        <w:rPr>
          <w:rStyle w:val="rvts1"/>
          <w:rFonts w:ascii="Trebuchet MS" w:eastAsia="Times New Roman" w:hAnsi="Trebuchet MS" w:cs="Arial"/>
          <w:bCs/>
          <w:color w:val="000000"/>
          <w:bdr w:val="none" w:sz="0" w:space="0" w:color="auto" w:frame="1"/>
          <w:lang w:eastAsia="ro-RO"/>
        </w:rPr>
        <w:t>.</w:t>
      </w:r>
    </w:p>
    <w:p w:rsidR="00FA66EB" w:rsidRPr="00372B68" w:rsidRDefault="00372B68" w:rsidP="00372B68">
      <w:pPr>
        <w:jc w:val="both"/>
        <w:rPr>
          <w:rStyle w:val="rvts1"/>
          <w:rFonts w:ascii="Trebuchet MS" w:eastAsia="Times New Roman" w:hAnsi="Trebuchet MS" w:cs="Arial"/>
          <w:bCs/>
          <w:color w:val="000000"/>
          <w:bdr w:val="none" w:sz="0" w:space="0" w:color="auto" w:frame="1"/>
          <w:lang w:eastAsia="ro-RO"/>
        </w:rPr>
      </w:pPr>
      <w:r>
        <w:rPr>
          <w:rStyle w:val="rvts1"/>
          <w:rFonts w:ascii="Trebuchet MS" w:eastAsia="Times New Roman" w:hAnsi="Trebuchet MS" w:cs="Arial"/>
          <w:bCs/>
          <w:color w:val="000000"/>
          <w:bdr w:val="none" w:sz="0" w:space="0" w:color="auto" w:frame="1"/>
          <w:lang w:eastAsia="ro-RO"/>
        </w:rPr>
        <w:t>4. stabilirea măsurilor care vizează i</w:t>
      </w:r>
      <w:r w:rsidRPr="00372B68">
        <w:rPr>
          <w:rStyle w:val="rvts1"/>
          <w:rFonts w:ascii="Trebuchet MS" w:eastAsia="Times New Roman" w:hAnsi="Trebuchet MS" w:cs="Arial"/>
          <w:bCs/>
          <w:color w:val="000000"/>
          <w:bdr w:val="none" w:sz="0" w:space="0" w:color="auto" w:frame="1"/>
          <w:lang w:eastAsia="ro-RO"/>
        </w:rPr>
        <w:t>nformarea persoanelor vizate asupra operațiunilor de prelucrare și modul de exercitare a drepturilor persoanelor vizate</w:t>
      </w:r>
      <w:r>
        <w:rPr>
          <w:rStyle w:val="rvts1"/>
          <w:rFonts w:ascii="Trebuchet MS" w:eastAsia="Times New Roman" w:hAnsi="Trebuchet MS" w:cs="Arial"/>
          <w:bCs/>
          <w:color w:val="000000"/>
          <w:bdr w:val="none" w:sz="0" w:space="0" w:color="auto" w:frame="1"/>
          <w:lang w:eastAsia="ro-RO"/>
        </w:rPr>
        <w:t>.</w:t>
      </w:r>
    </w:p>
    <w:p w:rsidR="00096CBD" w:rsidRDefault="00FA66EB" w:rsidP="00096CBD">
      <w:pPr>
        <w:ind w:right="-23" w:firstLine="567"/>
        <w:jc w:val="both"/>
        <w:rPr>
          <w:rFonts w:ascii="Trebuchet MS" w:hAnsi="Trebuchet MS" w:cs="Arial"/>
        </w:rPr>
      </w:pPr>
      <w:r w:rsidRPr="000657D5">
        <w:rPr>
          <w:rFonts w:ascii="Trebuchet MS" w:hAnsi="Trebuchet MS" w:cs="Arial"/>
        </w:rPr>
        <w:t xml:space="preserve">Ca urmare a celor </w:t>
      </w:r>
      <w:r w:rsidR="00372B68">
        <w:rPr>
          <w:rFonts w:ascii="Trebuchet MS" w:hAnsi="Trebuchet MS" w:cs="Arial"/>
        </w:rPr>
        <w:t>expuse mai sus și în temeiul</w:t>
      </w:r>
      <w:r w:rsidRPr="000657D5">
        <w:rPr>
          <w:rFonts w:ascii="Trebuchet MS" w:hAnsi="Trebuchet MS" w:cs="Arial"/>
        </w:rPr>
        <w:t xml:space="preserve"> </w:t>
      </w:r>
      <w:r w:rsidR="00372B68" w:rsidRPr="00372B68">
        <w:rPr>
          <w:rFonts w:ascii="Trebuchet MS" w:hAnsi="Trebuchet MS" w:cs="Arial"/>
        </w:rPr>
        <w:t>art. 804</w:t>
      </w:r>
      <w:r w:rsidR="00372B68" w:rsidRPr="00372B68">
        <w:rPr>
          <w:rFonts w:ascii="Trebuchet MS" w:hAnsi="Trebuchet MS" w:cs="Arial"/>
          <w:vertAlign w:val="superscript"/>
        </w:rPr>
        <w:t>1</w:t>
      </w:r>
      <w:r w:rsidR="00372B68" w:rsidRPr="00372B68">
        <w:rPr>
          <w:rFonts w:ascii="Trebuchet MS" w:hAnsi="Trebuchet MS" w:cs="Arial"/>
        </w:rPr>
        <w:t xml:space="preserve"> alin (7) din Legea nr. 95/2006 privind reforma în domeniul sănătăţii şi pentru modificarea şi completarea unor acte normative în domeniul sănătăţii, republicată, cu modificările și completările ulterioare</w:t>
      </w:r>
      <w:r w:rsidR="00096CBD">
        <w:rPr>
          <w:rFonts w:ascii="Trebuchet MS" w:hAnsi="Trebuchet MS" w:cs="Arial"/>
        </w:rPr>
        <w:t xml:space="preserve">, și a </w:t>
      </w:r>
      <w:r w:rsidR="00096CBD" w:rsidRPr="00096CBD">
        <w:rPr>
          <w:rFonts w:ascii="Trebuchet MS" w:hAnsi="Trebuchet MS" w:cs="Arial"/>
        </w:rPr>
        <w:t>art. 10 din Legea nr. 92/1996 privind organizarea şi funcţionarea Serviciului de Telecomunicaţii Speciale, cu modifică</w:t>
      </w:r>
      <w:r w:rsidR="00096CBD">
        <w:rPr>
          <w:rFonts w:ascii="Trebuchet MS" w:hAnsi="Trebuchet MS" w:cs="Arial"/>
        </w:rPr>
        <w:t xml:space="preserve">rile și completările ulterioare, respectiv a </w:t>
      </w:r>
      <w:r w:rsidRPr="000657D5">
        <w:rPr>
          <w:rFonts w:ascii="Trebuchet MS" w:hAnsi="Trebuchet MS" w:cs="Arial"/>
        </w:rPr>
        <w:t>art. 7 alin. (4) din Hotărârea Guvernului nr. 144/2010 privind organizarea și funcționarea Ministerului Sănătății, cu modifică</w:t>
      </w:r>
      <w:r w:rsidR="00096CBD">
        <w:rPr>
          <w:rFonts w:ascii="Trebuchet MS" w:hAnsi="Trebuchet MS" w:cs="Arial"/>
        </w:rPr>
        <w:t xml:space="preserve">rile și completările ulterioare, </w:t>
      </w:r>
      <w:r w:rsidRPr="000657D5">
        <w:rPr>
          <w:rFonts w:ascii="Trebuchet MS" w:hAnsi="Trebuchet MS" w:cs="Arial"/>
        </w:rPr>
        <w:t xml:space="preserve">a fost întocmit prezentul </w:t>
      </w:r>
      <w:r w:rsidR="00A206FA" w:rsidRPr="00A206FA">
        <w:rPr>
          <w:rFonts w:ascii="Trebuchet MS" w:hAnsi="Trebuchet MS" w:cs="Arial"/>
          <w:b/>
          <w:i/>
        </w:rPr>
        <w:t>privind punerea în aplicare a dispozițiilor art. 804</w:t>
      </w:r>
      <w:r w:rsidR="00A206FA" w:rsidRPr="00A206FA">
        <w:rPr>
          <w:rFonts w:ascii="Trebuchet MS" w:hAnsi="Trebuchet MS" w:cs="Arial"/>
          <w:b/>
          <w:i/>
          <w:vertAlign w:val="superscript"/>
        </w:rPr>
        <w:t>1</w:t>
      </w:r>
      <w:r w:rsidR="00A206FA" w:rsidRPr="00A206FA">
        <w:rPr>
          <w:rFonts w:ascii="Trebuchet MS" w:hAnsi="Trebuchet MS" w:cs="Arial"/>
          <w:b/>
          <w:i/>
        </w:rPr>
        <w:t xml:space="preserve"> alin. (7) din Legea nr. 95/2006 privind reforma în domeniul sănătății</w:t>
      </w:r>
      <w:r w:rsidRPr="000657D5">
        <w:rPr>
          <w:rFonts w:ascii="Trebuchet MS" w:hAnsi="Trebuchet MS" w:cs="Arial"/>
        </w:rPr>
        <w:t>, pe care, dacă sunteţi de acord, vă rugăm să-l aprobaţi în vederea publicării pe site-ul Ministerului Sănătății, la rubrica Transparență decizională.</w:t>
      </w:r>
    </w:p>
    <w:p w:rsidR="00096CBD" w:rsidRDefault="00954D1E" w:rsidP="00954D1E">
      <w:pPr>
        <w:jc w:val="center"/>
        <w:rPr>
          <w:rFonts w:ascii="Trebuchet MS" w:hAnsi="Trebuchet MS" w:cs="Arial"/>
        </w:rPr>
      </w:pPr>
      <w:r>
        <w:rPr>
          <w:rFonts w:ascii="Trebuchet MS" w:hAnsi="Trebuchet MS" w:cs="Arial"/>
        </w:rPr>
        <w:t>DIRECTOR</w:t>
      </w:r>
    </w:p>
    <w:p w:rsidR="00954D1E" w:rsidRDefault="00954D1E" w:rsidP="00954D1E">
      <w:pPr>
        <w:jc w:val="center"/>
        <w:rPr>
          <w:rFonts w:ascii="Trebuchet MS" w:hAnsi="Trebuchet MS" w:cs="Arial"/>
        </w:rPr>
      </w:pPr>
      <w:r>
        <w:rPr>
          <w:rFonts w:ascii="Trebuchet MS" w:hAnsi="Trebuchet MS" w:cs="Arial"/>
        </w:rPr>
        <w:t>MONICA NEGOVAN</w:t>
      </w:r>
    </w:p>
    <w:p w:rsidR="00096CBD" w:rsidRPr="00096CBD" w:rsidRDefault="00096CBD" w:rsidP="00096CBD">
      <w:pPr>
        <w:tabs>
          <w:tab w:val="left" w:pos="975"/>
        </w:tabs>
        <w:rPr>
          <w:rFonts w:ascii="Trebuchet MS" w:hAnsi="Trebuchet MS" w:cs="Arial"/>
        </w:rPr>
      </w:pPr>
      <w:r>
        <w:rPr>
          <w:rFonts w:ascii="Trebuchet MS" w:hAnsi="Trebuchet MS" w:cs="Arial"/>
        </w:rPr>
        <w:tab/>
      </w:r>
    </w:p>
    <w:p w:rsidR="00FA66EB" w:rsidRPr="00096CBD" w:rsidRDefault="00FA66EB" w:rsidP="00096CBD">
      <w:pPr>
        <w:tabs>
          <w:tab w:val="left" w:pos="975"/>
        </w:tabs>
        <w:rPr>
          <w:rFonts w:ascii="Trebuchet MS" w:hAnsi="Trebuchet MS" w:cs="Arial"/>
        </w:rPr>
      </w:pPr>
    </w:p>
    <w:sectPr w:rsidR="00FA66EB" w:rsidRPr="00096C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12"/>
    <w:rsid w:val="00043D29"/>
    <w:rsid w:val="00096CBD"/>
    <w:rsid w:val="000E4F26"/>
    <w:rsid w:val="00372B68"/>
    <w:rsid w:val="00402C82"/>
    <w:rsid w:val="005F2DD1"/>
    <w:rsid w:val="00751C0C"/>
    <w:rsid w:val="00873012"/>
    <w:rsid w:val="008D5BA1"/>
    <w:rsid w:val="00954D1E"/>
    <w:rsid w:val="009927A6"/>
    <w:rsid w:val="00A206FA"/>
    <w:rsid w:val="00FA66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A2DA7-40B8-45A2-B42E-4A666BC8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C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FA66E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1">
    <w:name w:val="rvts1"/>
    <w:basedOn w:val="DefaultParagraphFont"/>
    <w:rsid w:val="00FA66EB"/>
  </w:style>
  <w:style w:type="character" w:styleId="Hyperlink">
    <w:name w:val="Hyperlink"/>
    <w:basedOn w:val="DefaultParagraphFont"/>
    <w:uiPriority w:val="99"/>
    <w:unhideWhenUsed/>
    <w:rsid w:val="00FA66EB"/>
    <w:rPr>
      <w:color w:val="0563C1" w:themeColor="hyperlink"/>
      <w:u w:val="single"/>
    </w:rPr>
  </w:style>
  <w:style w:type="table" w:styleId="TableGrid">
    <w:name w:val="Table Grid"/>
    <w:basedOn w:val="TableNormal"/>
    <w:uiPriority w:val="39"/>
    <w:rsid w:val="00FA66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A66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OpenDocumentView(435185,%20829881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2024-12-02T13:30:00Z</dcterms:created>
  <dcterms:modified xsi:type="dcterms:W3CDTF">2024-12-02T13:30:00Z</dcterms:modified>
</cp:coreProperties>
</file>